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11057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02228D6" w14:textId="4112CFF4" w:rsidR="009606B6" w:rsidRPr="00CC69C6" w:rsidRDefault="001B362E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06AB02A" wp14:editId="4D57FF5F">
                <wp:simplePos x="0" y="0"/>
                <wp:positionH relativeFrom="column">
                  <wp:posOffset>-571500</wp:posOffset>
                </wp:positionH>
                <wp:positionV relativeFrom="paragraph">
                  <wp:posOffset>-287020</wp:posOffset>
                </wp:positionV>
                <wp:extent cx="1781175" cy="1786890"/>
                <wp:effectExtent l="0" t="0" r="9525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rrill_logo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78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606B6" w:rsidRPr="00CC69C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02229AA" wp14:editId="202229A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02229B7" w14:textId="77777777" w:rsidR="009606B6" w:rsidRDefault="00A8782E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Merrill Middle School Assessment Policy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02229AA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ZNNAIAAFw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02229B7" w14:textId="77777777" w:rsidR="009606B6" w:rsidRDefault="00A8782E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Merrill Middle School Assessment Policy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606B6" w:rsidRPr="00CC69C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02229AC" wp14:editId="202229A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02229B8" w14:textId="00A7D0D4" w:rsidR="009606B6" w:rsidRPr="001B362E" w:rsidRDefault="001B362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80"/>
                                          <w:szCs w:val="80"/>
                                        </w:rPr>
                                      </w:pPr>
                                      <w:r w:rsidRPr="001B362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80"/>
                                          <w:szCs w:val="80"/>
                                        </w:rPr>
                                        <w:t>2015 - 16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2229B9" w14:textId="34378C5E" w:rsidR="009606B6" w:rsidRDefault="009606B6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Last Updated: </w:t>
                                  </w:r>
                                  <w:r w:rsidR="001B362E">
                                    <w:rPr>
                                      <w:color w:val="FFFFFF" w:themeColor="background1"/>
                                    </w:rPr>
                                    <w:t>March 2016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02229AC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vy/Ig8FAABO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3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02229B8" w14:textId="00A7D0D4" w:rsidR="009606B6" w:rsidRPr="001B362E" w:rsidRDefault="001B362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1B362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2015 - 16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02229B9" w14:textId="34378C5E" w:rsidR="009606B6" w:rsidRDefault="009606B6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Last Updated: </w:t>
                            </w:r>
                            <w:r w:rsidR="001B362E">
                              <w:rPr>
                                <w:color w:val="FFFFFF" w:themeColor="background1"/>
                              </w:rPr>
                              <w:t>March 2016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202228D7" w14:textId="0F90CCF0" w:rsidR="009606B6" w:rsidRPr="00CC69C6" w:rsidRDefault="009606B6">
          <w:pPr>
            <w:rPr>
              <w:rFonts w:ascii="Times New Roman" w:hAnsi="Times New Roman" w:cs="Times New Roman"/>
              <w:sz w:val="24"/>
              <w:szCs w:val="24"/>
            </w:rPr>
          </w:pPr>
          <w:r w:rsidRPr="00CC69C6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202228D8" w14:textId="77777777" w:rsidR="00EC4F83" w:rsidRPr="00CC69C6" w:rsidRDefault="00EC4F83" w:rsidP="009315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228D9" w14:textId="77777777" w:rsidR="00870DFC" w:rsidRPr="00CC69C6" w:rsidRDefault="00870DFC" w:rsidP="000060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228DB" w14:textId="45179EBF" w:rsidR="007B5FD9" w:rsidRPr="00CC69C6" w:rsidRDefault="001B362E" w:rsidP="001B3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is meant to </w:t>
      </w:r>
      <w:r w:rsidRPr="002765D7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used</w:t>
      </w:r>
      <w:r w:rsidRPr="002765D7">
        <w:rPr>
          <w:rFonts w:ascii="Times New Roman" w:hAnsi="Times New Roman" w:cs="Times New Roman"/>
          <w:sz w:val="24"/>
          <w:szCs w:val="24"/>
        </w:rPr>
        <w:t xml:space="preserve"> in conjunction with Merrill’s Assessment Policy, </w:t>
      </w:r>
      <w:r>
        <w:rPr>
          <w:rFonts w:ascii="Times New Roman" w:hAnsi="Times New Roman" w:cs="Times New Roman"/>
          <w:sz w:val="24"/>
          <w:szCs w:val="24"/>
        </w:rPr>
        <w:t xml:space="preserve">Inclusion </w:t>
      </w:r>
      <w:r w:rsidRPr="002765D7">
        <w:rPr>
          <w:rFonts w:ascii="Times New Roman" w:hAnsi="Times New Roman" w:cs="Times New Roman"/>
          <w:sz w:val="24"/>
          <w:szCs w:val="24"/>
        </w:rPr>
        <w:t xml:space="preserve">Policy, and </w:t>
      </w:r>
      <w:r>
        <w:rPr>
          <w:rFonts w:ascii="Times New Roman" w:hAnsi="Times New Roman" w:cs="Times New Roman"/>
          <w:sz w:val="24"/>
          <w:szCs w:val="24"/>
        </w:rPr>
        <w:t>Language Policy</w:t>
      </w:r>
      <w:r w:rsidRPr="002765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228DC" w14:textId="77777777" w:rsidR="0000605B" w:rsidRPr="00CC69C6" w:rsidRDefault="00D54626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Philosophy</w:t>
      </w:r>
    </w:p>
    <w:p w14:paraId="202228DD" w14:textId="77777777" w:rsidR="005140FD" w:rsidRPr="00CC69C6" w:rsidRDefault="005140FD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8DE" w14:textId="77777777" w:rsidR="003F4810" w:rsidRPr="00CC69C6" w:rsidRDefault="00EA3A67" w:rsidP="005910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CC69C6">
        <w:rPr>
          <w:rFonts w:ascii="Times New Roman" w:hAnsi="Times New Roman" w:cs="Times New Roman"/>
          <w:sz w:val="24"/>
          <w:szCs w:val="24"/>
        </w:rPr>
        <w:t xml:space="preserve">The Merrill Middle School community </w:t>
      </w:r>
      <w:r w:rsidR="00A90468" w:rsidRPr="00CC69C6">
        <w:rPr>
          <w:rFonts w:ascii="Times New Roman" w:hAnsi="Times New Roman" w:cs="Times New Roman"/>
          <w:sz w:val="24"/>
          <w:szCs w:val="24"/>
        </w:rPr>
        <w:t>believe</w:t>
      </w:r>
      <w:r w:rsidRPr="00CC69C6">
        <w:rPr>
          <w:rFonts w:ascii="Times New Roman" w:hAnsi="Times New Roman" w:cs="Times New Roman"/>
          <w:sz w:val="24"/>
          <w:szCs w:val="24"/>
        </w:rPr>
        <w:t>s</w:t>
      </w:r>
      <w:r w:rsidR="00A90468" w:rsidRPr="00CC69C6">
        <w:rPr>
          <w:rFonts w:ascii="Times New Roman" w:hAnsi="Times New Roman" w:cs="Times New Roman"/>
          <w:sz w:val="24"/>
          <w:szCs w:val="24"/>
        </w:rPr>
        <w:t xml:space="preserve"> a</w:t>
      </w:r>
      <w:r w:rsidR="0000605B" w:rsidRPr="00CC69C6">
        <w:rPr>
          <w:rFonts w:ascii="Times New Roman" w:hAnsi="Times New Roman" w:cs="Times New Roman"/>
          <w:sz w:val="24"/>
          <w:szCs w:val="24"/>
        </w:rPr>
        <w:t>ssessment is an integral part of</w:t>
      </w:r>
      <w:r w:rsidR="00D50096" w:rsidRPr="00CC69C6">
        <w:rPr>
          <w:rFonts w:ascii="Times New Roman" w:hAnsi="Times New Roman" w:cs="Times New Roman"/>
          <w:sz w:val="24"/>
          <w:szCs w:val="24"/>
        </w:rPr>
        <w:t xml:space="preserve"> the instructional cycle</w:t>
      </w:r>
      <w:r w:rsidR="003F4810" w:rsidRPr="00CC69C6">
        <w:rPr>
          <w:rFonts w:ascii="Times New Roman" w:hAnsi="Times New Roman" w:cs="Times New Roman"/>
          <w:sz w:val="24"/>
          <w:szCs w:val="24"/>
        </w:rPr>
        <w:t xml:space="preserve">, and </w:t>
      </w:r>
      <w:r w:rsidR="00515D73" w:rsidRPr="00CC69C6">
        <w:rPr>
          <w:rFonts w:ascii="Times New Roman" w:hAnsi="Times New Roman" w:cs="Times New Roman"/>
          <w:sz w:val="24"/>
          <w:szCs w:val="24"/>
        </w:rPr>
        <w:t>e</w:t>
      </w:r>
      <w:r w:rsidR="00697000" w:rsidRPr="00CC69C6">
        <w:rPr>
          <w:rFonts w:ascii="Times New Roman" w:hAnsi="Times New Roman" w:cs="Times New Roman"/>
          <w:sz w:val="24"/>
          <w:szCs w:val="24"/>
        </w:rPr>
        <w:t>ffective assessment practices allow</w:t>
      </w:r>
      <w:r w:rsidR="0000605B" w:rsidRPr="00CC69C6">
        <w:rPr>
          <w:rFonts w:ascii="Times New Roman" w:hAnsi="Times New Roman" w:cs="Times New Roman"/>
          <w:sz w:val="24"/>
          <w:szCs w:val="24"/>
        </w:rPr>
        <w:t xml:space="preserve"> for the collection and analysis of </w:t>
      </w:r>
      <w:r w:rsidR="00921F81" w:rsidRPr="00CC69C6">
        <w:rPr>
          <w:rFonts w:ascii="Times New Roman" w:hAnsi="Times New Roman" w:cs="Times New Roman"/>
          <w:sz w:val="24"/>
          <w:szCs w:val="24"/>
        </w:rPr>
        <w:t>information</w:t>
      </w:r>
      <w:r w:rsidR="00E95A85" w:rsidRPr="00CC69C6">
        <w:rPr>
          <w:rFonts w:ascii="Times New Roman" w:hAnsi="Times New Roman" w:cs="Times New Roman"/>
          <w:sz w:val="24"/>
          <w:szCs w:val="24"/>
        </w:rPr>
        <w:t xml:space="preserve"> to</w:t>
      </w:r>
      <w:r w:rsidR="0000605B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576C86" w:rsidRPr="00CC69C6">
        <w:rPr>
          <w:rFonts w:ascii="Times New Roman" w:hAnsi="Times New Roman" w:cs="Times New Roman"/>
          <w:sz w:val="24"/>
          <w:szCs w:val="24"/>
        </w:rPr>
        <w:t>support and encourage</w:t>
      </w:r>
      <w:r w:rsidR="000257C4" w:rsidRPr="00CC69C6">
        <w:rPr>
          <w:rFonts w:ascii="Times New Roman" w:hAnsi="Times New Roman" w:cs="Times New Roman"/>
          <w:sz w:val="24"/>
          <w:szCs w:val="24"/>
        </w:rPr>
        <w:t xml:space="preserve"> effective </w:t>
      </w:r>
      <w:r w:rsidR="0000605B" w:rsidRPr="00CC69C6">
        <w:rPr>
          <w:rFonts w:ascii="Times New Roman" w:hAnsi="Times New Roman" w:cs="Times New Roman"/>
          <w:sz w:val="24"/>
          <w:szCs w:val="24"/>
        </w:rPr>
        <w:t>teaching and learning.</w:t>
      </w:r>
      <w:r w:rsidR="00A90468" w:rsidRPr="00CC69C6">
        <w:rPr>
          <w:rFonts w:ascii="Times New Roman" w:hAnsi="Times New Roman" w:cs="Times New Roman"/>
          <w:sz w:val="24"/>
          <w:szCs w:val="24"/>
        </w:rPr>
        <w:t xml:space="preserve">  </w:t>
      </w:r>
      <w:r w:rsidR="00515D73" w:rsidRPr="00CC69C6">
        <w:rPr>
          <w:rFonts w:ascii="Times New Roman" w:hAnsi="Times New Roman" w:cs="Times New Roman"/>
          <w:sz w:val="24"/>
          <w:szCs w:val="24"/>
        </w:rPr>
        <w:t>Further, we believe</w:t>
      </w:r>
      <w:r w:rsidR="003F4810" w:rsidRPr="00CC69C6">
        <w:rPr>
          <w:rFonts w:ascii="Times New Roman" w:hAnsi="Times New Roman" w:cs="Times New Roman"/>
          <w:sz w:val="24"/>
          <w:szCs w:val="24"/>
        </w:rPr>
        <w:t xml:space="preserve"> that </w:t>
      </w:r>
      <w:r w:rsidR="00E95A85" w:rsidRPr="00CC69C6">
        <w:rPr>
          <w:rFonts w:ascii="Times New Roman" w:hAnsi="Times New Roman" w:cs="Times New Roman"/>
          <w:sz w:val="24"/>
          <w:szCs w:val="24"/>
        </w:rPr>
        <w:t>it is crucial to</w:t>
      </w:r>
      <w:r w:rsidR="003F4810" w:rsidRPr="00CC69C6">
        <w:rPr>
          <w:rFonts w:ascii="Times New Roman" w:hAnsi="Times New Roman" w:cs="Times New Roman"/>
          <w:sz w:val="24"/>
          <w:szCs w:val="24"/>
        </w:rPr>
        <w:t>:</w:t>
      </w:r>
      <w:r w:rsidR="00E95A85" w:rsidRPr="00CC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28DF" w14:textId="22045964" w:rsidR="00591063" w:rsidRPr="00CC69C6" w:rsidRDefault="00E95A85" w:rsidP="003F48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assess</w:t>
      </w:r>
      <w:proofErr w:type="gramEnd"/>
      <w:r w:rsidRPr="00CC69C6">
        <w:rPr>
          <w:rFonts w:ascii="Times New Roman" w:hAnsi="Times New Roman" w:cs="Times New Roman"/>
          <w:sz w:val="24"/>
          <w:szCs w:val="24"/>
        </w:rPr>
        <w:t xml:space="preserve"> the </w:t>
      </w:r>
      <w:r w:rsidR="001B362E">
        <w:rPr>
          <w:rFonts w:ascii="Times New Roman" w:hAnsi="Times New Roman" w:cs="Times New Roman"/>
          <w:sz w:val="24"/>
          <w:szCs w:val="24"/>
        </w:rPr>
        <w:t xml:space="preserve">process and </w:t>
      </w:r>
      <w:r w:rsidRPr="00CC69C6">
        <w:rPr>
          <w:rFonts w:ascii="Times New Roman" w:hAnsi="Times New Roman" w:cs="Times New Roman"/>
          <w:sz w:val="24"/>
          <w:szCs w:val="24"/>
        </w:rPr>
        <w:t xml:space="preserve">product of </w:t>
      </w:r>
      <w:r w:rsidR="001B362E">
        <w:rPr>
          <w:rFonts w:ascii="Times New Roman" w:hAnsi="Times New Roman" w:cs="Times New Roman"/>
          <w:sz w:val="24"/>
          <w:szCs w:val="24"/>
        </w:rPr>
        <w:t>an</w:t>
      </w:r>
      <w:r w:rsidRPr="00CC69C6">
        <w:rPr>
          <w:rFonts w:ascii="Times New Roman" w:hAnsi="Times New Roman" w:cs="Times New Roman"/>
          <w:sz w:val="24"/>
          <w:szCs w:val="24"/>
        </w:rPr>
        <w:t xml:space="preserve"> inquiry through summative </w:t>
      </w:r>
      <w:r w:rsidR="001B362E">
        <w:rPr>
          <w:rFonts w:ascii="Times New Roman" w:hAnsi="Times New Roman" w:cs="Times New Roman"/>
          <w:sz w:val="24"/>
          <w:szCs w:val="24"/>
        </w:rPr>
        <w:t>and formative assessments.</w:t>
      </w:r>
    </w:p>
    <w:p w14:paraId="202228E0" w14:textId="77777777" w:rsidR="008622E3" w:rsidRPr="00CC69C6" w:rsidRDefault="003F4810" w:rsidP="005910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implement</w:t>
      </w:r>
      <w:proofErr w:type="gramEnd"/>
      <w:r w:rsidR="008622E3" w:rsidRPr="00CC69C6">
        <w:rPr>
          <w:rFonts w:ascii="Times New Roman" w:hAnsi="Times New Roman" w:cs="Times New Roman"/>
          <w:sz w:val="24"/>
          <w:szCs w:val="24"/>
        </w:rPr>
        <w:t xml:space="preserve"> differentiation strategies to meet the needs of all students.</w:t>
      </w:r>
    </w:p>
    <w:p w14:paraId="202228E1" w14:textId="679747DA" w:rsidR="00591063" w:rsidRPr="00CC69C6" w:rsidRDefault="003F4810" w:rsidP="005910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591063" w:rsidRPr="00CC69C6">
        <w:rPr>
          <w:rFonts w:ascii="Times New Roman" w:hAnsi="Times New Roman" w:cs="Times New Roman"/>
          <w:sz w:val="24"/>
          <w:szCs w:val="24"/>
        </w:rPr>
        <w:t xml:space="preserve"> a variety of instructional techniques, including service learning, to </w:t>
      </w:r>
      <w:r w:rsidR="000E6269" w:rsidRPr="00CC69C6">
        <w:rPr>
          <w:rFonts w:ascii="Times New Roman" w:hAnsi="Times New Roman" w:cs="Times New Roman"/>
          <w:sz w:val="24"/>
          <w:szCs w:val="24"/>
        </w:rPr>
        <w:t>accommodate</w:t>
      </w:r>
      <w:r w:rsidR="00591063" w:rsidRPr="00CC69C6">
        <w:rPr>
          <w:rFonts w:ascii="Times New Roman" w:hAnsi="Times New Roman" w:cs="Times New Roman"/>
          <w:sz w:val="24"/>
          <w:szCs w:val="24"/>
        </w:rPr>
        <w:t xml:space="preserve"> the various learning </w:t>
      </w:r>
      <w:r w:rsidR="001B362E">
        <w:rPr>
          <w:rFonts w:ascii="Times New Roman" w:hAnsi="Times New Roman" w:cs="Times New Roman"/>
          <w:sz w:val="24"/>
          <w:szCs w:val="24"/>
        </w:rPr>
        <w:t xml:space="preserve">needs and </w:t>
      </w:r>
      <w:r w:rsidR="00591063" w:rsidRPr="00CC69C6">
        <w:rPr>
          <w:rFonts w:ascii="Times New Roman" w:hAnsi="Times New Roman" w:cs="Times New Roman"/>
          <w:sz w:val="24"/>
          <w:szCs w:val="24"/>
        </w:rPr>
        <w:t xml:space="preserve">styles of all students.  </w:t>
      </w:r>
    </w:p>
    <w:p w14:paraId="202228E2" w14:textId="77777777" w:rsidR="00591063" w:rsidRPr="00CC69C6" w:rsidRDefault="003F4810" w:rsidP="005910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 w:rsidR="003D0C8A" w:rsidRPr="00CC69C6">
        <w:rPr>
          <w:rFonts w:ascii="Times New Roman" w:hAnsi="Times New Roman" w:cs="Times New Roman"/>
          <w:sz w:val="24"/>
          <w:szCs w:val="24"/>
        </w:rPr>
        <w:t xml:space="preserve"> student</w:t>
      </w:r>
      <w:r w:rsidR="00147A3F" w:rsidRPr="00CC69C6">
        <w:rPr>
          <w:rFonts w:ascii="Times New Roman" w:hAnsi="Times New Roman" w:cs="Times New Roman"/>
          <w:sz w:val="24"/>
          <w:szCs w:val="24"/>
        </w:rPr>
        <w:t xml:space="preserve"> choice in </w:t>
      </w:r>
      <w:r w:rsidR="00E95A85" w:rsidRPr="00CC69C6">
        <w:rPr>
          <w:rFonts w:ascii="Times New Roman" w:hAnsi="Times New Roman" w:cs="Times New Roman"/>
          <w:sz w:val="24"/>
          <w:szCs w:val="24"/>
        </w:rPr>
        <w:t>assessment</w:t>
      </w:r>
      <w:r w:rsidR="00147A3F" w:rsidRPr="00CC69C6">
        <w:rPr>
          <w:rFonts w:ascii="Times New Roman" w:hAnsi="Times New Roman" w:cs="Times New Roman"/>
          <w:sz w:val="24"/>
          <w:szCs w:val="24"/>
        </w:rPr>
        <w:t xml:space="preserve"> tasks</w:t>
      </w:r>
      <w:r w:rsidR="00360973" w:rsidRPr="00CC69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2228E3" w14:textId="77777777" w:rsidR="00D50096" w:rsidRPr="00CC69C6" w:rsidRDefault="003F4810" w:rsidP="005910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engage</w:t>
      </w:r>
      <w:proofErr w:type="gramEnd"/>
      <w:r w:rsidR="00591063" w:rsidRPr="00CC69C6">
        <w:rPr>
          <w:rFonts w:ascii="Times New Roman" w:hAnsi="Times New Roman" w:cs="Times New Roman"/>
          <w:sz w:val="24"/>
          <w:szCs w:val="24"/>
        </w:rPr>
        <w:t xml:space="preserve"> students</w:t>
      </w:r>
      <w:r w:rsidR="00E95A85" w:rsidRPr="00CC69C6">
        <w:rPr>
          <w:rFonts w:ascii="Times New Roman" w:hAnsi="Times New Roman" w:cs="Times New Roman"/>
          <w:sz w:val="24"/>
          <w:szCs w:val="24"/>
        </w:rPr>
        <w:t xml:space="preserve"> in meaningful</w:t>
      </w:r>
      <w:r w:rsidR="00591063" w:rsidRPr="00CC69C6">
        <w:rPr>
          <w:rFonts w:ascii="Times New Roman" w:hAnsi="Times New Roman" w:cs="Times New Roman"/>
          <w:sz w:val="24"/>
          <w:szCs w:val="24"/>
        </w:rPr>
        <w:t xml:space="preserve"> tasks that replicate authentic, real-world </w:t>
      </w:r>
      <w:r w:rsidR="00E95A85" w:rsidRPr="00CC69C6">
        <w:rPr>
          <w:rFonts w:ascii="Times New Roman" w:hAnsi="Times New Roman" w:cs="Times New Roman"/>
          <w:sz w:val="24"/>
          <w:szCs w:val="24"/>
        </w:rPr>
        <w:t xml:space="preserve">challenges. </w:t>
      </w:r>
      <w:bookmarkEnd w:id="0"/>
      <w:bookmarkEnd w:id="1"/>
    </w:p>
    <w:p w14:paraId="202228E4" w14:textId="31AC6757" w:rsidR="00D774EB" w:rsidRPr="00CC69C6" w:rsidRDefault="003F4810" w:rsidP="005910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offer</w:t>
      </w:r>
      <w:proofErr w:type="gramEnd"/>
      <w:r w:rsidR="00D774EB" w:rsidRPr="00CC69C6">
        <w:rPr>
          <w:rFonts w:ascii="Times New Roman" w:hAnsi="Times New Roman" w:cs="Times New Roman"/>
          <w:sz w:val="24"/>
          <w:szCs w:val="24"/>
        </w:rPr>
        <w:t xml:space="preserve"> multiple opportunities for students to explore </w:t>
      </w:r>
      <w:r w:rsidR="001B362E">
        <w:rPr>
          <w:rFonts w:ascii="Times New Roman" w:hAnsi="Times New Roman" w:cs="Times New Roman"/>
          <w:sz w:val="24"/>
          <w:szCs w:val="24"/>
        </w:rPr>
        <w:t xml:space="preserve">content and </w:t>
      </w:r>
      <w:r w:rsidR="00D774EB" w:rsidRPr="00CC69C6">
        <w:rPr>
          <w:rFonts w:ascii="Times New Roman" w:hAnsi="Times New Roman" w:cs="Times New Roman"/>
          <w:sz w:val="24"/>
          <w:szCs w:val="24"/>
        </w:rPr>
        <w:t>conc</w:t>
      </w:r>
      <w:r w:rsidR="00A03FDF" w:rsidRPr="00CC69C6">
        <w:rPr>
          <w:rFonts w:ascii="Times New Roman" w:hAnsi="Times New Roman" w:cs="Times New Roman"/>
          <w:sz w:val="24"/>
          <w:szCs w:val="24"/>
        </w:rPr>
        <w:t>epts</w:t>
      </w:r>
      <w:r w:rsidR="00D774EB" w:rsidRPr="00CC69C6">
        <w:rPr>
          <w:rFonts w:ascii="Times New Roman" w:hAnsi="Times New Roman" w:cs="Times New Roman"/>
          <w:sz w:val="24"/>
          <w:szCs w:val="24"/>
        </w:rPr>
        <w:t>.</w:t>
      </w:r>
    </w:p>
    <w:p w14:paraId="202228E5" w14:textId="3E0532B9" w:rsidR="00296DDC" w:rsidRPr="00CC69C6" w:rsidRDefault="00296DDC" w:rsidP="005910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C69C6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CC69C6">
        <w:rPr>
          <w:rFonts w:ascii="Times New Roman" w:hAnsi="Times New Roman" w:cs="Times New Roman"/>
          <w:sz w:val="24"/>
          <w:szCs w:val="24"/>
        </w:rPr>
        <w:t xml:space="preserve"> continual </w:t>
      </w:r>
      <w:r w:rsidR="001B362E">
        <w:rPr>
          <w:rFonts w:ascii="Times New Roman" w:hAnsi="Times New Roman" w:cs="Times New Roman"/>
          <w:sz w:val="24"/>
          <w:szCs w:val="24"/>
        </w:rPr>
        <w:t xml:space="preserve">and frequent </w:t>
      </w:r>
      <w:r w:rsidRPr="00CC69C6">
        <w:rPr>
          <w:rFonts w:ascii="Times New Roman" w:hAnsi="Times New Roman" w:cs="Times New Roman"/>
          <w:sz w:val="24"/>
          <w:szCs w:val="24"/>
        </w:rPr>
        <w:t>feedback to students.</w:t>
      </w:r>
    </w:p>
    <w:p w14:paraId="202228E6" w14:textId="77777777" w:rsidR="00A8782E" w:rsidRPr="00CC69C6" w:rsidRDefault="00A8782E" w:rsidP="00A8782E">
      <w:pPr>
        <w:pStyle w:val="NoSpacing"/>
        <w:rPr>
          <w:rFonts w:cs="Times New Roman"/>
          <w:sz w:val="24"/>
          <w:szCs w:val="24"/>
        </w:rPr>
      </w:pPr>
    </w:p>
    <w:p w14:paraId="202228E7" w14:textId="77777777" w:rsidR="00A8782E" w:rsidRPr="00CC69C6" w:rsidRDefault="00A8782E" w:rsidP="00A878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Development and dissemination</w:t>
      </w:r>
    </w:p>
    <w:p w14:paraId="202228E8" w14:textId="77777777" w:rsidR="00A8782E" w:rsidRPr="00CC69C6" w:rsidRDefault="00A8782E" w:rsidP="00A878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8E9" w14:textId="77777777" w:rsidR="00A8782E" w:rsidRPr="00CC69C6" w:rsidRDefault="00A8782E" w:rsidP="00A8782E">
      <w:pPr>
        <w:pStyle w:val="NormalWeb"/>
      </w:pPr>
      <w:r w:rsidRPr="00CC69C6">
        <w:t xml:space="preserve">The assessment policy was developed in conjunction with parents, students, community members, faculty, and staff. It will be reviewed annually by stakeholders. The policy is posted at </w:t>
      </w:r>
      <w:r w:rsidRPr="00CC69C6">
        <w:rPr>
          <w:b/>
          <w:i/>
        </w:rPr>
        <w:t>www.merrill.dmschools.org</w:t>
      </w:r>
      <w:r w:rsidRPr="00CC69C6">
        <w:t>, made available in hard copy form</w:t>
      </w:r>
      <w:r w:rsidR="0079134E" w:rsidRPr="00CC69C6">
        <w:t>,</w:t>
      </w:r>
      <w:r w:rsidRPr="00CC69C6">
        <w:t xml:space="preserve"> and provided to all Merrill community members as requested. </w:t>
      </w:r>
    </w:p>
    <w:p w14:paraId="202228EA" w14:textId="77777777" w:rsidR="00A8782E" w:rsidRPr="00CC69C6" w:rsidRDefault="00A8782E" w:rsidP="00A87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8EB" w14:textId="77777777" w:rsidR="002A01E3" w:rsidRPr="00CC69C6" w:rsidRDefault="002A01E3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8EC" w14:textId="77777777" w:rsidR="00D50096" w:rsidRPr="00CC69C6" w:rsidRDefault="00D54626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Formative assessment</w:t>
      </w:r>
    </w:p>
    <w:p w14:paraId="202228ED" w14:textId="77777777" w:rsidR="005140FD" w:rsidRPr="00CC69C6" w:rsidRDefault="005140FD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8EE" w14:textId="2F258EDE" w:rsidR="005637AF" w:rsidRPr="00CC69C6" w:rsidRDefault="000D1D39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Formative assessments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 are designed to </w:t>
      </w:r>
      <w:r w:rsidR="00515D73" w:rsidRPr="00CC69C6">
        <w:rPr>
          <w:rFonts w:ascii="Times New Roman" w:hAnsi="Times New Roman" w:cs="Times New Roman"/>
          <w:sz w:val="24"/>
          <w:szCs w:val="24"/>
        </w:rPr>
        <w:t xml:space="preserve">inform instruction and 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provide information to teachers </w:t>
      </w:r>
      <w:r w:rsidR="00515D73" w:rsidRPr="00CC69C6">
        <w:rPr>
          <w:rFonts w:ascii="Times New Roman" w:hAnsi="Times New Roman" w:cs="Times New Roman"/>
          <w:sz w:val="24"/>
          <w:szCs w:val="24"/>
        </w:rPr>
        <w:t>about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 each student’s level of proficiency.  These assessments</w:t>
      </w:r>
      <w:r w:rsidR="002967D8" w:rsidRPr="00CC69C6">
        <w:rPr>
          <w:rFonts w:ascii="Times New Roman" w:hAnsi="Times New Roman" w:cs="Times New Roman"/>
          <w:sz w:val="24"/>
          <w:szCs w:val="24"/>
        </w:rPr>
        <w:t>, which can be formal or informal,</w:t>
      </w:r>
      <w:r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provide </w:t>
      </w:r>
      <w:r w:rsidR="001B362E">
        <w:rPr>
          <w:rFonts w:ascii="Times New Roman" w:hAnsi="Times New Roman" w:cs="Times New Roman"/>
          <w:sz w:val="24"/>
          <w:szCs w:val="24"/>
        </w:rPr>
        <w:t>timely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, detailed feedback for students and allow time for students to make self-adjustments.  They </w:t>
      </w:r>
      <w:r w:rsidRPr="00CC69C6">
        <w:rPr>
          <w:rFonts w:ascii="Times New Roman" w:hAnsi="Times New Roman" w:cs="Times New Roman"/>
          <w:sz w:val="24"/>
          <w:szCs w:val="24"/>
        </w:rPr>
        <w:t>are used throughout unit</w:t>
      </w:r>
      <w:r w:rsidR="00A21C77" w:rsidRPr="00CC69C6">
        <w:rPr>
          <w:rFonts w:ascii="Times New Roman" w:hAnsi="Times New Roman" w:cs="Times New Roman"/>
          <w:sz w:val="24"/>
          <w:szCs w:val="24"/>
        </w:rPr>
        <w:t>s</w:t>
      </w:r>
      <w:r w:rsidRPr="00CC69C6">
        <w:rPr>
          <w:rFonts w:ascii="Times New Roman" w:hAnsi="Times New Roman" w:cs="Times New Roman"/>
          <w:sz w:val="24"/>
          <w:szCs w:val="24"/>
        </w:rPr>
        <w:t xml:space="preserve"> to 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allow students to explore </w:t>
      </w:r>
      <w:r w:rsidR="00170803">
        <w:rPr>
          <w:rFonts w:ascii="Times New Roman" w:hAnsi="Times New Roman" w:cs="Times New Roman"/>
          <w:sz w:val="24"/>
          <w:szCs w:val="24"/>
        </w:rPr>
        <w:t xml:space="preserve">content, 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concepts and to provide the knowledge and skills they will need to perform </w:t>
      </w:r>
      <w:r w:rsidR="001B362E">
        <w:rPr>
          <w:rFonts w:ascii="Times New Roman" w:hAnsi="Times New Roman" w:cs="Times New Roman"/>
          <w:sz w:val="24"/>
          <w:szCs w:val="24"/>
        </w:rPr>
        <w:t>summative</w:t>
      </w:r>
      <w:r w:rsidR="003D566E" w:rsidRPr="00CC69C6">
        <w:rPr>
          <w:rFonts w:ascii="Times New Roman" w:hAnsi="Times New Roman" w:cs="Times New Roman"/>
          <w:sz w:val="24"/>
          <w:szCs w:val="24"/>
        </w:rPr>
        <w:t xml:space="preserve"> tasks</w:t>
      </w:r>
      <w:r w:rsidRPr="00CC69C6">
        <w:rPr>
          <w:rFonts w:ascii="Times New Roman" w:hAnsi="Times New Roman" w:cs="Times New Roman"/>
          <w:sz w:val="24"/>
          <w:szCs w:val="24"/>
        </w:rPr>
        <w:t xml:space="preserve">.  </w:t>
      </w:r>
      <w:r w:rsidR="00183D20" w:rsidRPr="00CC69C6">
        <w:rPr>
          <w:rFonts w:ascii="Times New Roman" w:hAnsi="Times New Roman" w:cs="Times New Roman"/>
          <w:sz w:val="24"/>
          <w:szCs w:val="24"/>
        </w:rPr>
        <w:t>Well-</w:t>
      </w:r>
      <w:r w:rsidR="00810062" w:rsidRPr="00CC69C6">
        <w:rPr>
          <w:rFonts w:ascii="Times New Roman" w:hAnsi="Times New Roman" w:cs="Times New Roman"/>
          <w:sz w:val="24"/>
          <w:szCs w:val="24"/>
        </w:rPr>
        <w:t xml:space="preserve">designed learning experiences, </w:t>
      </w:r>
      <w:r w:rsidR="00644D71" w:rsidRPr="00CC69C6">
        <w:rPr>
          <w:rFonts w:ascii="Times New Roman" w:hAnsi="Times New Roman" w:cs="Times New Roman"/>
          <w:sz w:val="24"/>
          <w:szCs w:val="24"/>
        </w:rPr>
        <w:t xml:space="preserve">self-assessment, </w:t>
      </w:r>
      <w:r w:rsidRPr="00CC69C6">
        <w:rPr>
          <w:rFonts w:ascii="Times New Roman" w:hAnsi="Times New Roman" w:cs="Times New Roman"/>
          <w:sz w:val="24"/>
          <w:szCs w:val="24"/>
        </w:rPr>
        <w:t xml:space="preserve">observations, </w:t>
      </w:r>
      <w:r w:rsidR="00810062" w:rsidRPr="00CC69C6">
        <w:rPr>
          <w:rFonts w:ascii="Times New Roman" w:hAnsi="Times New Roman" w:cs="Times New Roman"/>
          <w:sz w:val="24"/>
          <w:szCs w:val="24"/>
        </w:rPr>
        <w:t xml:space="preserve">and </w:t>
      </w:r>
      <w:r w:rsidRPr="00CC69C6">
        <w:rPr>
          <w:rFonts w:ascii="Times New Roman" w:hAnsi="Times New Roman" w:cs="Times New Roman"/>
          <w:sz w:val="24"/>
          <w:szCs w:val="24"/>
        </w:rPr>
        <w:t xml:space="preserve">anecdotal notes are examples </w:t>
      </w:r>
      <w:r w:rsidR="00810062" w:rsidRPr="00CC69C6">
        <w:rPr>
          <w:rFonts w:ascii="Times New Roman" w:hAnsi="Times New Roman" w:cs="Times New Roman"/>
          <w:sz w:val="24"/>
          <w:szCs w:val="24"/>
        </w:rPr>
        <w:t>of</w:t>
      </w:r>
      <w:r w:rsidRPr="00CC69C6">
        <w:rPr>
          <w:rFonts w:ascii="Times New Roman" w:hAnsi="Times New Roman" w:cs="Times New Roman"/>
          <w:sz w:val="24"/>
          <w:szCs w:val="24"/>
        </w:rPr>
        <w:t xml:space="preserve"> formative assessments used at </w:t>
      </w:r>
      <w:r w:rsidR="00810062" w:rsidRPr="00CC69C6">
        <w:rPr>
          <w:rFonts w:ascii="Times New Roman" w:hAnsi="Times New Roman" w:cs="Times New Roman"/>
          <w:sz w:val="24"/>
          <w:szCs w:val="24"/>
        </w:rPr>
        <w:t>Merrill Middle School</w:t>
      </w:r>
      <w:r w:rsidRPr="00CC69C6">
        <w:rPr>
          <w:rFonts w:ascii="Times New Roman" w:hAnsi="Times New Roman" w:cs="Times New Roman"/>
          <w:sz w:val="24"/>
          <w:szCs w:val="24"/>
        </w:rPr>
        <w:t>.</w:t>
      </w:r>
      <w:r w:rsidR="00915DF8" w:rsidRPr="00CC69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2228EF" w14:textId="77777777" w:rsidR="005637AF" w:rsidRPr="00CC69C6" w:rsidRDefault="005637AF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8F0" w14:textId="77777777" w:rsidR="00D50096" w:rsidRPr="00CC69C6" w:rsidRDefault="00D54626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Summative assessment</w:t>
      </w:r>
    </w:p>
    <w:p w14:paraId="202228F1" w14:textId="77777777" w:rsidR="005140FD" w:rsidRPr="00CC69C6" w:rsidRDefault="005140FD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8F2" w14:textId="00655697" w:rsidR="008E31F4" w:rsidRPr="00CC69C6" w:rsidRDefault="000D1D39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OLE_LINK5"/>
      <w:bookmarkStart w:id="3" w:name="OLE_LINK6"/>
      <w:r w:rsidRPr="00CC69C6">
        <w:rPr>
          <w:rFonts w:ascii="Times New Roman" w:hAnsi="Times New Roman" w:cs="Times New Roman"/>
          <w:sz w:val="24"/>
          <w:szCs w:val="24"/>
        </w:rPr>
        <w:t>Summative assessments</w:t>
      </w:r>
      <w:r w:rsidR="003D566E" w:rsidRPr="00CC69C6">
        <w:rPr>
          <w:rFonts w:ascii="Times New Roman" w:hAnsi="Times New Roman" w:cs="Times New Roman"/>
          <w:sz w:val="24"/>
          <w:szCs w:val="24"/>
        </w:rPr>
        <w:t>, also referred to as culminating tasks, are assessments that are administered at the end of a unit of inquiry to measure students’ proficiency of standards</w:t>
      </w:r>
      <w:bookmarkEnd w:id="2"/>
      <w:bookmarkEnd w:id="3"/>
      <w:r w:rsidR="003D566E" w:rsidRPr="00CC69C6">
        <w:rPr>
          <w:rFonts w:ascii="Times New Roman" w:hAnsi="Times New Roman" w:cs="Times New Roman"/>
          <w:sz w:val="24"/>
          <w:szCs w:val="24"/>
        </w:rPr>
        <w:t xml:space="preserve"> and </w:t>
      </w:r>
      <w:r w:rsidR="001F01AF" w:rsidRPr="00CC69C6">
        <w:rPr>
          <w:rFonts w:ascii="Times New Roman" w:hAnsi="Times New Roman" w:cs="Times New Roman"/>
          <w:sz w:val="24"/>
          <w:szCs w:val="24"/>
        </w:rPr>
        <w:t>subject-area objectives</w:t>
      </w:r>
      <w:r w:rsidRPr="00CC69C6">
        <w:rPr>
          <w:rFonts w:ascii="Times New Roman" w:hAnsi="Times New Roman" w:cs="Times New Roman"/>
          <w:sz w:val="24"/>
          <w:szCs w:val="24"/>
        </w:rPr>
        <w:t>.  Authentic summative assessments prompt students to action and communicate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 learning to parents</w:t>
      </w:r>
      <w:r w:rsidR="008E25CD" w:rsidRPr="00CC69C6">
        <w:rPr>
          <w:rFonts w:ascii="Times New Roman" w:hAnsi="Times New Roman" w:cs="Times New Roman"/>
          <w:sz w:val="24"/>
          <w:szCs w:val="24"/>
        </w:rPr>
        <w:t>/guardians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, students, and teachers.  </w:t>
      </w:r>
      <w:r w:rsidR="001F01AF" w:rsidRPr="00CC69C6">
        <w:rPr>
          <w:rFonts w:ascii="Times New Roman" w:hAnsi="Times New Roman" w:cs="Times New Roman"/>
          <w:sz w:val="24"/>
          <w:szCs w:val="24"/>
        </w:rPr>
        <w:t xml:space="preserve">Tests, projects, </w:t>
      </w:r>
      <w:r w:rsidR="005E25BC" w:rsidRPr="00CC69C6">
        <w:rPr>
          <w:rFonts w:ascii="Times New Roman" w:hAnsi="Times New Roman" w:cs="Times New Roman"/>
          <w:sz w:val="24"/>
          <w:szCs w:val="24"/>
        </w:rPr>
        <w:t xml:space="preserve">essays, </w:t>
      </w:r>
      <w:r w:rsidR="001F01AF" w:rsidRPr="00CC69C6">
        <w:rPr>
          <w:rFonts w:ascii="Times New Roman" w:hAnsi="Times New Roman" w:cs="Times New Roman"/>
          <w:sz w:val="24"/>
          <w:szCs w:val="24"/>
        </w:rPr>
        <w:t>and presentations are some examples of summative assessments used at Merrill Middle School.</w:t>
      </w:r>
      <w:r w:rsidR="00170803">
        <w:rPr>
          <w:rFonts w:ascii="Times New Roman" w:hAnsi="Times New Roman" w:cs="Times New Roman"/>
          <w:sz w:val="24"/>
          <w:szCs w:val="24"/>
        </w:rPr>
        <w:t xml:space="preserve"> Students have multiple opportunities to demonstrate proficiency, including summative tasks.</w:t>
      </w:r>
    </w:p>
    <w:p w14:paraId="202228F3" w14:textId="77777777" w:rsidR="00C233EF" w:rsidRPr="00CC69C6" w:rsidRDefault="00C233EF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8F4" w14:textId="77777777" w:rsidR="00A97F42" w:rsidRPr="00CC69C6" w:rsidRDefault="00A97F42">
      <w:pPr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2228F5" w14:textId="77777777" w:rsidR="00D54626" w:rsidRPr="00CC69C6" w:rsidRDefault="0099178A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lastRenderedPageBreak/>
        <w:t>Assessment in the Middle Years Programme</w:t>
      </w:r>
    </w:p>
    <w:p w14:paraId="202228F6" w14:textId="77777777" w:rsidR="00A97F42" w:rsidRPr="00CC69C6" w:rsidRDefault="00A97F42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8F7" w14:textId="77777777" w:rsidR="00C403A2" w:rsidRPr="00CC69C6" w:rsidRDefault="00992976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OLE_LINK7"/>
      <w:bookmarkStart w:id="5" w:name="OLE_LINK8"/>
      <w:r w:rsidRPr="00CC69C6">
        <w:rPr>
          <w:rFonts w:ascii="Times New Roman" w:hAnsi="Times New Roman" w:cs="Times New Roman"/>
          <w:sz w:val="24"/>
          <w:szCs w:val="24"/>
        </w:rPr>
        <w:t>Merrill will follow the assessment guidelines set forth in the IB Middle Years Programme.</w:t>
      </w:r>
    </w:p>
    <w:bookmarkEnd w:id="4"/>
    <w:bookmarkEnd w:id="5"/>
    <w:p w14:paraId="202228F8" w14:textId="77777777" w:rsidR="000E6269" w:rsidRPr="00CC69C6" w:rsidRDefault="00515D73" w:rsidP="000E33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Teachers will collaborate to design common course assessments according to MYP objectives.</w:t>
      </w:r>
      <w:r w:rsidR="000E6269" w:rsidRPr="00CC69C6">
        <w:rPr>
          <w:rFonts w:ascii="Times New Roman" w:hAnsi="Times New Roman" w:cs="Times New Roman"/>
          <w:sz w:val="24"/>
          <w:szCs w:val="24"/>
        </w:rPr>
        <w:t xml:space="preserve">  These assessment tasks will be age-appropriate, </w:t>
      </w:r>
      <w:r w:rsidR="000E3377" w:rsidRPr="00CC69C6">
        <w:rPr>
          <w:rFonts w:ascii="Times New Roman" w:hAnsi="Times New Roman" w:cs="Times New Roman"/>
          <w:sz w:val="24"/>
          <w:szCs w:val="24"/>
        </w:rPr>
        <w:t>allow student</w:t>
      </w:r>
      <w:r w:rsidR="0079134E" w:rsidRPr="00CC69C6">
        <w:rPr>
          <w:rFonts w:ascii="Times New Roman" w:hAnsi="Times New Roman" w:cs="Times New Roman"/>
          <w:sz w:val="24"/>
          <w:szCs w:val="24"/>
        </w:rPr>
        <w:t>s</w:t>
      </w:r>
      <w:r w:rsidR="000E3377" w:rsidRPr="00CC69C6">
        <w:rPr>
          <w:rFonts w:ascii="Times New Roman" w:hAnsi="Times New Roman" w:cs="Times New Roman"/>
          <w:sz w:val="24"/>
          <w:szCs w:val="24"/>
        </w:rPr>
        <w:t xml:space="preserve"> to gather information from multiple perspective</w:t>
      </w:r>
      <w:r w:rsidR="0079134E" w:rsidRPr="00CC69C6">
        <w:rPr>
          <w:rFonts w:ascii="Times New Roman" w:hAnsi="Times New Roman" w:cs="Times New Roman"/>
          <w:sz w:val="24"/>
          <w:szCs w:val="24"/>
        </w:rPr>
        <w:t>s</w:t>
      </w:r>
      <w:r w:rsidR="000E3377" w:rsidRPr="00CC69C6">
        <w:rPr>
          <w:rFonts w:ascii="Times New Roman" w:hAnsi="Times New Roman" w:cs="Times New Roman"/>
          <w:sz w:val="24"/>
          <w:szCs w:val="24"/>
        </w:rPr>
        <w:t>, and will a</w:t>
      </w:r>
      <w:r w:rsidR="000E6269" w:rsidRPr="00CC69C6">
        <w:rPr>
          <w:rFonts w:ascii="Times New Roman" w:hAnsi="Times New Roman" w:cs="Times New Roman"/>
          <w:sz w:val="24"/>
          <w:szCs w:val="24"/>
        </w:rPr>
        <w:t>lign with standards and subject-area objectives.</w:t>
      </w:r>
    </w:p>
    <w:p w14:paraId="202228F9" w14:textId="77777777" w:rsidR="00515D73" w:rsidRPr="00CC69C6" w:rsidRDefault="00515D73" w:rsidP="00515D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 xml:space="preserve">In MYP units of work, MYP </w:t>
      </w:r>
      <w:r w:rsidR="000E6269" w:rsidRPr="00CC69C6">
        <w:rPr>
          <w:rFonts w:ascii="Times New Roman" w:hAnsi="Times New Roman" w:cs="Times New Roman"/>
          <w:sz w:val="24"/>
          <w:szCs w:val="24"/>
        </w:rPr>
        <w:t>criterion r</w:t>
      </w:r>
      <w:r w:rsidRPr="00CC69C6">
        <w:rPr>
          <w:rFonts w:ascii="Times New Roman" w:hAnsi="Times New Roman" w:cs="Times New Roman"/>
          <w:sz w:val="24"/>
          <w:szCs w:val="24"/>
        </w:rPr>
        <w:t>ubrics will be used on summative tasks.</w:t>
      </w:r>
      <w:r w:rsidR="00A97F42" w:rsidRPr="00CC69C6">
        <w:rPr>
          <w:rFonts w:ascii="Times New Roman" w:hAnsi="Times New Roman" w:cs="Times New Roman"/>
          <w:sz w:val="24"/>
          <w:szCs w:val="24"/>
        </w:rPr>
        <w:t xml:space="preserve"> In addition, teachers will collaborate to standardize criterion rubrics.</w:t>
      </w:r>
    </w:p>
    <w:p w14:paraId="202228FA" w14:textId="3DC2F508" w:rsidR="00BA48D9" w:rsidRPr="00CC69C6" w:rsidRDefault="008744D8" w:rsidP="00296DD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In each unit, teachers will choose teaching strategies and learning e</w:t>
      </w:r>
      <w:r w:rsidR="00170803">
        <w:rPr>
          <w:rFonts w:ascii="Times New Roman" w:hAnsi="Times New Roman" w:cs="Times New Roman"/>
          <w:sz w:val="24"/>
          <w:szCs w:val="24"/>
        </w:rPr>
        <w:t>xperiences that align with the Statement of I</w:t>
      </w:r>
      <w:r w:rsidRPr="00CC69C6">
        <w:rPr>
          <w:rFonts w:ascii="Times New Roman" w:hAnsi="Times New Roman" w:cs="Times New Roman"/>
          <w:sz w:val="24"/>
          <w:szCs w:val="24"/>
        </w:rPr>
        <w:t>nquiry.</w:t>
      </w:r>
    </w:p>
    <w:p w14:paraId="202228FB" w14:textId="3BB1B910" w:rsidR="00D160E0" w:rsidRPr="00CC69C6" w:rsidRDefault="00D774EB" w:rsidP="000543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Subject-area</w:t>
      </w:r>
      <w:r w:rsidR="00D160E0" w:rsidRPr="00CC69C6">
        <w:rPr>
          <w:rFonts w:ascii="Times New Roman" w:hAnsi="Times New Roman" w:cs="Times New Roman"/>
          <w:sz w:val="24"/>
          <w:szCs w:val="24"/>
        </w:rPr>
        <w:t xml:space="preserve"> MYP objectives </w:t>
      </w:r>
      <w:r w:rsidRPr="00CC69C6">
        <w:rPr>
          <w:rFonts w:ascii="Times New Roman" w:hAnsi="Times New Roman" w:cs="Times New Roman"/>
          <w:sz w:val="24"/>
          <w:szCs w:val="24"/>
        </w:rPr>
        <w:t>will be used to assess work in</w:t>
      </w:r>
      <w:r w:rsidR="00D160E0" w:rsidRPr="00CC69C6">
        <w:rPr>
          <w:rFonts w:ascii="Times New Roman" w:hAnsi="Times New Roman" w:cs="Times New Roman"/>
          <w:sz w:val="24"/>
          <w:szCs w:val="24"/>
        </w:rPr>
        <w:t xml:space="preserve"> each year of the programme. These objectives </w:t>
      </w:r>
      <w:r w:rsidR="00170803">
        <w:rPr>
          <w:rFonts w:ascii="Times New Roman" w:hAnsi="Times New Roman" w:cs="Times New Roman"/>
          <w:sz w:val="24"/>
          <w:szCs w:val="24"/>
        </w:rPr>
        <w:t>are</w:t>
      </w:r>
      <w:r w:rsidR="00D160E0" w:rsidRPr="00CC69C6">
        <w:rPr>
          <w:rFonts w:ascii="Times New Roman" w:hAnsi="Times New Roman" w:cs="Times New Roman"/>
          <w:sz w:val="24"/>
          <w:szCs w:val="24"/>
        </w:rPr>
        <w:t xml:space="preserve"> available to parents and community stakeholders on the school’s website.</w:t>
      </w:r>
    </w:p>
    <w:p w14:paraId="202228FC" w14:textId="77777777" w:rsidR="00992976" w:rsidRPr="00CC69C6" w:rsidRDefault="00A65A18" w:rsidP="0099297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I</w:t>
      </w:r>
      <w:r w:rsidR="00B11DC3" w:rsidRPr="00CC69C6">
        <w:rPr>
          <w:rFonts w:ascii="Times New Roman" w:hAnsi="Times New Roman" w:cs="Times New Roman"/>
          <w:sz w:val="24"/>
          <w:szCs w:val="24"/>
        </w:rPr>
        <w:t>t is expected that each subject-</w:t>
      </w:r>
      <w:r w:rsidR="008744D8" w:rsidRPr="00CC69C6">
        <w:rPr>
          <w:rFonts w:ascii="Times New Roman" w:hAnsi="Times New Roman" w:cs="Times New Roman"/>
          <w:sz w:val="24"/>
          <w:szCs w:val="24"/>
        </w:rPr>
        <w:t xml:space="preserve">area </w:t>
      </w:r>
      <w:r w:rsidR="00515D73" w:rsidRPr="00CC69C6">
        <w:rPr>
          <w:rFonts w:ascii="Times New Roman" w:hAnsi="Times New Roman" w:cs="Times New Roman"/>
          <w:sz w:val="24"/>
          <w:szCs w:val="24"/>
        </w:rPr>
        <w:t>objective strand</w:t>
      </w:r>
      <w:r w:rsidR="00992976" w:rsidRPr="00CC69C6">
        <w:rPr>
          <w:rFonts w:ascii="Times New Roman" w:hAnsi="Times New Roman" w:cs="Times New Roman"/>
          <w:sz w:val="24"/>
          <w:szCs w:val="24"/>
        </w:rPr>
        <w:t xml:space="preserve"> will be assessed a minimum of two times in the year.</w:t>
      </w:r>
      <w:r w:rsidR="000C25B7" w:rsidRPr="00CC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28FD" w14:textId="77777777" w:rsidR="00BA48D9" w:rsidRPr="00CC69C6" w:rsidRDefault="00BA48D9" w:rsidP="00D5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228FE" w14:textId="77777777" w:rsidR="00D54626" w:rsidRPr="00CC69C6" w:rsidRDefault="003F4798" w:rsidP="00D5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Self-assessment and R</w:t>
      </w:r>
      <w:r w:rsidR="00D54626" w:rsidRPr="00CC69C6">
        <w:rPr>
          <w:rFonts w:ascii="Times New Roman" w:hAnsi="Times New Roman" w:cs="Times New Roman"/>
          <w:b/>
          <w:sz w:val="24"/>
          <w:szCs w:val="24"/>
        </w:rPr>
        <w:t>eflection</w:t>
      </w:r>
    </w:p>
    <w:p w14:paraId="202228FF" w14:textId="77777777" w:rsidR="00A97F42" w:rsidRPr="00CC69C6" w:rsidRDefault="00A97F42" w:rsidP="00D54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22900" w14:textId="77777777" w:rsidR="00870DFC" w:rsidRPr="00CC69C6" w:rsidRDefault="00490C9C" w:rsidP="00D54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Merrill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Pr="00CC69C6">
        <w:rPr>
          <w:rFonts w:ascii="Times New Roman" w:hAnsi="Times New Roman" w:cs="Times New Roman"/>
          <w:sz w:val="24"/>
          <w:szCs w:val="24"/>
        </w:rPr>
        <w:t>strives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031242" w:rsidRPr="00CC69C6">
        <w:rPr>
          <w:rFonts w:ascii="Times New Roman" w:hAnsi="Times New Roman" w:cs="Times New Roman"/>
          <w:sz w:val="24"/>
          <w:szCs w:val="24"/>
        </w:rPr>
        <w:t xml:space="preserve">inquiring and 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reflective learners who self-assess their academic progress.  Students are given </w:t>
      </w:r>
      <w:r w:rsidR="00F40363" w:rsidRPr="00CC69C6">
        <w:rPr>
          <w:rFonts w:ascii="Times New Roman" w:hAnsi="Times New Roman" w:cs="Times New Roman"/>
          <w:sz w:val="24"/>
          <w:szCs w:val="24"/>
        </w:rPr>
        <w:t xml:space="preserve">the 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opportunity to reflect on </w:t>
      </w:r>
      <w:r w:rsidR="00FD4B21" w:rsidRPr="00CC69C6">
        <w:rPr>
          <w:rFonts w:ascii="Times New Roman" w:hAnsi="Times New Roman" w:cs="Times New Roman"/>
          <w:sz w:val="24"/>
          <w:szCs w:val="24"/>
        </w:rPr>
        <w:t>their</w:t>
      </w:r>
      <w:r w:rsidR="00F40363" w:rsidRPr="00CC69C6">
        <w:rPr>
          <w:rFonts w:ascii="Times New Roman" w:hAnsi="Times New Roman" w:cs="Times New Roman"/>
          <w:sz w:val="24"/>
          <w:szCs w:val="24"/>
        </w:rPr>
        <w:t xml:space="preserve"> learning</w:t>
      </w:r>
      <w:r w:rsidR="00031242" w:rsidRPr="00CC69C6">
        <w:rPr>
          <w:rFonts w:ascii="Times New Roman" w:hAnsi="Times New Roman" w:cs="Times New Roman"/>
          <w:sz w:val="24"/>
          <w:szCs w:val="24"/>
        </w:rPr>
        <w:t xml:space="preserve">, </w:t>
      </w:r>
      <w:r w:rsidR="00CE6779" w:rsidRPr="00CC69C6">
        <w:rPr>
          <w:rFonts w:ascii="Times New Roman" w:hAnsi="Times New Roman" w:cs="Times New Roman"/>
          <w:sz w:val="24"/>
          <w:szCs w:val="24"/>
        </w:rPr>
        <w:t xml:space="preserve">the work of their peers, </w:t>
      </w:r>
      <w:r w:rsidR="00031242" w:rsidRPr="00CC69C6">
        <w:rPr>
          <w:rFonts w:ascii="Times New Roman" w:hAnsi="Times New Roman" w:cs="Times New Roman"/>
          <w:sz w:val="24"/>
          <w:szCs w:val="24"/>
        </w:rPr>
        <w:t>and the Learner Profile</w:t>
      </w:r>
      <w:r w:rsidR="008E31F4" w:rsidRPr="00CC69C6">
        <w:rPr>
          <w:rFonts w:ascii="Times New Roman" w:hAnsi="Times New Roman" w:cs="Times New Roman"/>
          <w:sz w:val="24"/>
          <w:szCs w:val="24"/>
        </w:rPr>
        <w:t xml:space="preserve"> d</w:t>
      </w:r>
      <w:r w:rsidR="001F1FEF" w:rsidRPr="00CC69C6">
        <w:rPr>
          <w:rFonts w:ascii="Times New Roman" w:hAnsi="Times New Roman" w:cs="Times New Roman"/>
          <w:sz w:val="24"/>
          <w:szCs w:val="24"/>
        </w:rPr>
        <w:t xml:space="preserve">uring the course of each unit.  </w:t>
      </w:r>
    </w:p>
    <w:p w14:paraId="20222901" w14:textId="77777777" w:rsidR="005376C2" w:rsidRPr="00CC69C6" w:rsidRDefault="005376C2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902" w14:textId="77777777" w:rsidR="008F7FA5" w:rsidRPr="00CC69C6" w:rsidRDefault="008F7FA5" w:rsidP="0037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Recording and Reporting</w:t>
      </w:r>
    </w:p>
    <w:p w14:paraId="20222903" w14:textId="77777777" w:rsidR="008F7FA5" w:rsidRPr="00CC69C6" w:rsidRDefault="008F7FA5" w:rsidP="0037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222904" w14:textId="77777777" w:rsidR="00D711D8" w:rsidRPr="00CC69C6" w:rsidRDefault="00180840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Beginning i</w:t>
      </w:r>
      <w:r w:rsidR="00D561F3" w:rsidRPr="00CC69C6">
        <w:rPr>
          <w:rFonts w:ascii="Times New Roman" w:hAnsi="Times New Roman" w:cs="Times New Roman"/>
          <w:sz w:val="24"/>
          <w:szCs w:val="24"/>
        </w:rPr>
        <w:t>n August 2014, all DMPS middle schools implement</w:t>
      </w:r>
      <w:r w:rsidR="00374CB3" w:rsidRPr="00CC69C6">
        <w:rPr>
          <w:rFonts w:ascii="Times New Roman" w:hAnsi="Times New Roman" w:cs="Times New Roman"/>
          <w:sz w:val="24"/>
          <w:szCs w:val="24"/>
        </w:rPr>
        <w:t>ed</w:t>
      </w:r>
      <w:r w:rsidR="00D561F3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374CB3" w:rsidRPr="00CC69C6">
        <w:rPr>
          <w:rFonts w:ascii="Times New Roman" w:hAnsi="Times New Roman" w:cs="Times New Roman"/>
          <w:sz w:val="24"/>
          <w:szCs w:val="24"/>
        </w:rPr>
        <w:t xml:space="preserve">a </w:t>
      </w:r>
      <w:r w:rsidR="00D561F3" w:rsidRPr="00CC69C6">
        <w:rPr>
          <w:rFonts w:ascii="Times New Roman" w:hAnsi="Times New Roman" w:cs="Times New Roman"/>
          <w:sz w:val="24"/>
          <w:szCs w:val="24"/>
        </w:rPr>
        <w:t xml:space="preserve">standards-referenced </w:t>
      </w:r>
      <w:r w:rsidR="009913E7" w:rsidRPr="00CC69C6">
        <w:rPr>
          <w:rFonts w:ascii="Times New Roman" w:hAnsi="Times New Roman" w:cs="Times New Roman"/>
          <w:sz w:val="24"/>
          <w:szCs w:val="24"/>
        </w:rPr>
        <w:t xml:space="preserve">grading </w:t>
      </w:r>
      <w:r w:rsidR="00374CB3" w:rsidRPr="00CC69C6">
        <w:rPr>
          <w:rFonts w:ascii="Times New Roman" w:hAnsi="Times New Roman" w:cs="Times New Roman"/>
          <w:sz w:val="24"/>
          <w:szCs w:val="24"/>
        </w:rPr>
        <w:t xml:space="preserve">system </w:t>
      </w:r>
      <w:r w:rsidR="009913E7" w:rsidRPr="00CC69C6">
        <w:rPr>
          <w:rFonts w:ascii="Times New Roman" w:hAnsi="Times New Roman" w:cs="Times New Roman"/>
          <w:sz w:val="24"/>
          <w:szCs w:val="24"/>
        </w:rPr>
        <w:t xml:space="preserve">to </w:t>
      </w:r>
      <w:r w:rsidR="00D711D8" w:rsidRPr="00CC69C6">
        <w:rPr>
          <w:rFonts w:ascii="Times New Roman" w:hAnsi="Times New Roman" w:cs="Times New Roman"/>
          <w:sz w:val="24"/>
          <w:szCs w:val="24"/>
        </w:rPr>
        <w:t>measure</w:t>
      </w:r>
      <w:r w:rsidR="009913E7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374CB3" w:rsidRPr="00CC69C6">
        <w:rPr>
          <w:rFonts w:ascii="Times New Roman" w:hAnsi="Times New Roman" w:cs="Times New Roman"/>
          <w:sz w:val="24"/>
          <w:szCs w:val="24"/>
        </w:rPr>
        <w:t>student</w:t>
      </w:r>
      <w:r w:rsidR="00BF514F" w:rsidRPr="00CC69C6">
        <w:rPr>
          <w:rFonts w:ascii="Times New Roman" w:hAnsi="Times New Roman" w:cs="Times New Roman"/>
          <w:sz w:val="24"/>
          <w:szCs w:val="24"/>
        </w:rPr>
        <w:t xml:space="preserve">s’ academic </w:t>
      </w:r>
      <w:r w:rsidR="00D711D8" w:rsidRPr="00CC69C6">
        <w:rPr>
          <w:rFonts w:ascii="Times New Roman" w:hAnsi="Times New Roman" w:cs="Times New Roman"/>
          <w:sz w:val="24"/>
          <w:szCs w:val="24"/>
        </w:rPr>
        <w:t>proficiency of Iowa Core Standards</w:t>
      </w:r>
      <w:r w:rsidR="009913E7" w:rsidRPr="00CC69C6">
        <w:rPr>
          <w:rFonts w:ascii="Times New Roman" w:hAnsi="Times New Roman" w:cs="Times New Roman"/>
          <w:sz w:val="24"/>
          <w:szCs w:val="24"/>
        </w:rPr>
        <w:t xml:space="preserve">.  </w:t>
      </w:r>
      <w:r w:rsidR="00384767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D711D8" w:rsidRPr="00CC69C6">
        <w:rPr>
          <w:rFonts w:ascii="Times New Roman" w:hAnsi="Times New Roman" w:cs="Times New Roman"/>
          <w:sz w:val="24"/>
          <w:szCs w:val="24"/>
        </w:rPr>
        <w:t>This system of assessment allow</w:t>
      </w:r>
      <w:r w:rsidR="00374CB3" w:rsidRPr="00CC69C6">
        <w:rPr>
          <w:rFonts w:ascii="Times New Roman" w:hAnsi="Times New Roman" w:cs="Times New Roman"/>
          <w:sz w:val="24"/>
          <w:szCs w:val="24"/>
        </w:rPr>
        <w:t>s</w:t>
      </w:r>
      <w:r w:rsidR="00D711D8" w:rsidRPr="00CC69C6">
        <w:rPr>
          <w:rFonts w:ascii="Times New Roman" w:hAnsi="Times New Roman" w:cs="Times New Roman"/>
          <w:sz w:val="24"/>
          <w:szCs w:val="24"/>
        </w:rPr>
        <w:t xml:space="preserve"> teachers to</w:t>
      </w:r>
      <w:r w:rsidR="00C32FE5" w:rsidRPr="00CC69C6">
        <w:rPr>
          <w:rFonts w:ascii="Times New Roman" w:hAnsi="Times New Roman" w:cs="Times New Roman"/>
          <w:sz w:val="24"/>
          <w:szCs w:val="24"/>
        </w:rPr>
        <w:t xml:space="preserve"> better</w:t>
      </w:r>
      <w:r w:rsidR="00D711D8" w:rsidRPr="00CC69C6">
        <w:rPr>
          <w:rFonts w:ascii="Times New Roman" w:hAnsi="Times New Roman" w:cs="Times New Roman"/>
          <w:sz w:val="24"/>
          <w:szCs w:val="24"/>
        </w:rPr>
        <w:t xml:space="preserve"> target inst</w:t>
      </w:r>
      <w:r w:rsidR="00BF514F" w:rsidRPr="00CC69C6">
        <w:rPr>
          <w:rFonts w:ascii="Times New Roman" w:hAnsi="Times New Roman" w:cs="Times New Roman"/>
          <w:sz w:val="24"/>
          <w:szCs w:val="24"/>
        </w:rPr>
        <w:t xml:space="preserve">ruction to meet student needs. </w:t>
      </w:r>
      <w:r w:rsidR="0079134E" w:rsidRPr="00CC69C6">
        <w:rPr>
          <w:rFonts w:ascii="Times New Roman" w:hAnsi="Times New Roman" w:cs="Times New Roman"/>
          <w:sz w:val="24"/>
          <w:szCs w:val="24"/>
        </w:rPr>
        <w:t>Important student behaviors</w:t>
      </w:r>
      <w:r w:rsidR="00BF514F" w:rsidRPr="00CC69C6">
        <w:rPr>
          <w:rFonts w:ascii="Times New Roman" w:hAnsi="Times New Roman" w:cs="Times New Roman"/>
          <w:sz w:val="24"/>
          <w:szCs w:val="24"/>
        </w:rPr>
        <w:t xml:space="preserve"> such as work completion, participation, and working with others will be</w:t>
      </w:r>
      <w:r w:rsidR="0079134E" w:rsidRPr="00CC69C6">
        <w:rPr>
          <w:rFonts w:ascii="Times New Roman" w:hAnsi="Times New Roman" w:cs="Times New Roman"/>
          <w:sz w:val="24"/>
          <w:szCs w:val="24"/>
        </w:rPr>
        <w:t xml:space="preserve"> reported separately using the </w:t>
      </w:r>
      <w:r w:rsidR="00BF514F" w:rsidRPr="00CC69C6">
        <w:rPr>
          <w:rFonts w:ascii="Times New Roman" w:hAnsi="Times New Roman" w:cs="Times New Roman"/>
          <w:sz w:val="24"/>
          <w:szCs w:val="24"/>
        </w:rPr>
        <w:t>DMPS Citizenship a</w:t>
      </w:r>
      <w:r w:rsidR="0079134E" w:rsidRPr="00CC69C6">
        <w:rPr>
          <w:rFonts w:ascii="Times New Roman" w:hAnsi="Times New Roman" w:cs="Times New Roman"/>
          <w:sz w:val="24"/>
          <w:szCs w:val="24"/>
        </w:rPr>
        <w:t>nd Employability Skills Rubric.</w:t>
      </w:r>
    </w:p>
    <w:p w14:paraId="20222905" w14:textId="77777777" w:rsidR="00D711D8" w:rsidRPr="00CC69C6" w:rsidRDefault="00D711D8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22906" w14:textId="4B04208D" w:rsidR="00D561F3" w:rsidRPr="00CC69C6" w:rsidRDefault="00384767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 xml:space="preserve">Merrill teachers will use a four-point scale to assess </w:t>
      </w:r>
      <w:r w:rsidR="00BF514F" w:rsidRPr="00CC69C6">
        <w:rPr>
          <w:rFonts w:ascii="Times New Roman" w:hAnsi="Times New Roman" w:cs="Times New Roman"/>
          <w:sz w:val="24"/>
          <w:szCs w:val="24"/>
        </w:rPr>
        <w:t>formative assessment tasks</w:t>
      </w:r>
      <w:r w:rsidR="0041799C" w:rsidRPr="00CC69C6">
        <w:rPr>
          <w:rFonts w:ascii="Times New Roman" w:hAnsi="Times New Roman" w:cs="Times New Roman"/>
          <w:sz w:val="24"/>
          <w:szCs w:val="24"/>
        </w:rPr>
        <w:t xml:space="preserve">. </w:t>
      </w:r>
      <w:r w:rsidR="00374CB3" w:rsidRPr="00CC69C6">
        <w:rPr>
          <w:rFonts w:ascii="Times New Roman" w:hAnsi="Times New Roman" w:cs="Times New Roman"/>
          <w:sz w:val="24"/>
          <w:szCs w:val="24"/>
        </w:rPr>
        <w:t xml:space="preserve">Teachers use IB criterion rubrics to assess culminating tasks and complex formative tasks. Achievement levels are reported through </w:t>
      </w:r>
      <w:r w:rsidRPr="00CC69C6">
        <w:rPr>
          <w:rFonts w:ascii="Times New Roman" w:hAnsi="Times New Roman" w:cs="Times New Roman"/>
          <w:sz w:val="24"/>
          <w:szCs w:val="24"/>
        </w:rPr>
        <w:t>Inf</w:t>
      </w:r>
      <w:r w:rsidR="00170803">
        <w:rPr>
          <w:rFonts w:ascii="Times New Roman" w:hAnsi="Times New Roman" w:cs="Times New Roman"/>
          <w:sz w:val="24"/>
          <w:szCs w:val="24"/>
        </w:rPr>
        <w:t xml:space="preserve">inite Campus. </w:t>
      </w:r>
    </w:p>
    <w:p w14:paraId="20222907" w14:textId="77777777" w:rsidR="00C32FE5" w:rsidRPr="00CC69C6" w:rsidRDefault="00C32FE5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22908" w14:textId="77777777" w:rsidR="005913C1" w:rsidRPr="00CC69C6" w:rsidRDefault="005913C1">
      <w:p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br w:type="page"/>
      </w:r>
    </w:p>
    <w:p w14:paraId="20222909" w14:textId="78619D9B" w:rsidR="005913C1" w:rsidRPr="00CC69C6" w:rsidRDefault="005913C1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lastRenderedPageBreak/>
        <w:t xml:space="preserve">For reporting purposes, teachers convert IB rubric scores to the </w:t>
      </w:r>
      <w:r w:rsidR="00021CAD" w:rsidRPr="00CC69C6">
        <w:rPr>
          <w:rFonts w:ascii="Times New Roman" w:hAnsi="Times New Roman" w:cs="Times New Roman"/>
          <w:sz w:val="24"/>
          <w:szCs w:val="24"/>
        </w:rPr>
        <w:t xml:space="preserve">DMPS </w:t>
      </w:r>
      <w:r w:rsidRPr="00CC69C6">
        <w:rPr>
          <w:rFonts w:ascii="Times New Roman" w:hAnsi="Times New Roman" w:cs="Times New Roman"/>
          <w:sz w:val="24"/>
          <w:szCs w:val="24"/>
        </w:rPr>
        <w:t xml:space="preserve">four-point </w:t>
      </w:r>
      <w:r w:rsidR="00021CAD" w:rsidRPr="00CC69C6">
        <w:rPr>
          <w:rFonts w:ascii="Times New Roman" w:hAnsi="Times New Roman" w:cs="Times New Roman"/>
          <w:sz w:val="24"/>
          <w:szCs w:val="24"/>
        </w:rPr>
        <w:t>scale</w:t>
      </w:r>
      <w:r w:rsidR="00170803">
        <w:rPr>
          <w:rFonts w:ascii="Times New Roman" w:hAnsi="Times New Roman" w:cs="Times New Roman"/>
          <w:sz w:val="24"/>
          <w:szCs w:val="24"/>
        </w:rPr>
        <w:t xml:space="preserve"> when communicating proficiency of DMPS learning topics</w:t>
      </w:r>
      <w:r w:rsidRPr="00CC69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22290A" w14:textId="77777777" w:rsidR="005913C1" w:rsidRPr="00CC69C6" w:rsidRDefault="005913C1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3960"/>
      </w:tblGrid>
      <w:tr w:rsidR="005913C1" w:rsidRPr="00CC69C6" w14:paraId="2022290E" w14:textId="77777777" w:rsidTr="00021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0B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IB Rubric Score</w:t>
            </w:r>
          </w:p>
        </w:tc>
        <w:tc>
          <w:tcPr>
            <w:tcW w:w="1800" w:type="dxa"/>
            <w:vAlign w:val="center"/>
          </w:tcPr>
          <w:p w14:paraId="2022290C" w14:textId="77777777" w:rsidR="005913C1" w:rsidRPr="00CC69C6" w:rsidRDefault="005913C1" w:rsidP="00021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Infinite Campus Score</w:t>
            </w:r>
          </w:p>
        </w:tc>
        <w:tc>
          <w:tcPr>
            <w:tcW w:w="3960" w:type="dxa"/>
            <w:vAlign w:val="center"/>
          </w:tcPr>
          <w:p w14:paraId="2022290D" w14:textId="77777777" w:rsidR="005913C1" w:rsidRPr="00CC69C6" w:rsidRDefault="005913C1" w:rsidP="00021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Level of Proficiency</w:t>
            </w:r>
          </w:p>
        </w:tc>
      </w:tr>
      <w:tr w:rsidR="005913C1" w:rsidRPr="00CC69C6" w14:paraId="20222912" w14:textId="77777777" w:rsidTr="0002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0F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20222910" w14:textId="77777777" w:rsidR="005913C1" w:rsidRPr="00CC69C6" w:rsidRDefault="005913C1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14:paraId="20222911" w14:textId="77777777" w:rsidR="005913C1" w:rsidRPr="00CC69C6" w:rsidRDefault="00C814FB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Exceeding</w:t>
            </w:r>
          </w:p>
        </w:tc>
      </w:tr>
      <w:tr w:rsidR="005913C1" w:rsidRPr="00CC69C6" w14:paraId="20222916" w14:textId="77777777" w:rsidTr="00021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13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20222914" w14:textId="77777777" w:rsidR="005913C1" w:rsidRPr="00CC69C6" w:rsidRDefault="005913C1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0" w:type="dxa"/>
            <w:vAlign w:val="center"/>
          </w:tcPr>
          <w:p w14:paraId="20222915" w14:textId="77777777" w:rsidR="005913C1" w:rsidRPr="00CC69C6" w:rsidRDefault="00C814FB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Exceeding</w:t>
            </w:r>
          </w:p>
        </w:tc>
      </w:tr>
      <w:tr w:rsidR="005913C1" w:rsidRPr="00CC69C6" w14:paraId="2022291A" w14:textId="77777777" w:rsidTr="0002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17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20222918" w14:textId="77777777" w:rsidR="005913C1" w:rsidRPr="00CC69C6" w:rsidRDefault="005913C1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14:paraId="20222919" w14:textId="77777777" w:rsidR="005913C1" w:rsidRPr="00CC69C6" w:rsidRDefault="005913C1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</w:tr>
      <w:tr w:rsidR="005913C1" w:rsidRPr="00CC69C6" w14:paraId="2022291E" w14:textId="77777777" w:rsidTr="00021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1B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2022291C" w14:textId="77777777" w:rsidR="005913C1" w:rsidRPr="00CC69C6" w:rsidRDefault="005913C1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14:paraId="2022291D" w14:textId="77777777" w:rsidR="005913C1" w:rsidRPr="00CC69C6" w:rsidRDefault="005913C1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</w:tr>
      <w:tr w:rsidR="005913C1" w:rsidRPr="00CC69C6" w14:paraId="20222922" w14:textId="77777777" w:rsidTr="0002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1F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20222920" w14:textId="77777777" w:rsidR="005913C1" w:rsidRPr="00CC69C6" w:rsidRDefault="005913C1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0" w:type="dxa"/>
            <w:vAlign w:val="center"/>
          </w:tcPr>
          <w:p w14:paraId="20222921" w14:textId="77777777" w:rsidR="005913C1" w:rsidRPr="00CC69C6" w:rsidRDefault="00C814FB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</w:tr>
      <w:tr w:rsidR="005913C1" w:rsidRPr="00CC69C6" w14:paraId="20222926" w14:textId="77777777" w:rsidTr="00021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23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20222924" w14:textId="77777777" w:rsidR="005913C1" w:rsidRPr="00CC69C6" w:rsidRDefault="005913C1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14:paraId="20222925" w14:textId="77777777" w:rsidR="005913C1" w:rsidRPr="00CC69C6" w:rsidRDefault="00C814FB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</w:tr>
      <w:tr w:rsidR="005913C1" w:rsidRPr="00CC69C6" w14:paraId="2022292A" w14:textId="77777777" w:rsidTr="0002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27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20222928" w14:textId="77777777" w:rsidR="005913C1" w:rsidRPr="00CC69C6" w:rsidRDefault="005913C1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0" w:type="dxa"/>
            <w:vAlign w:val="center"/>
          </w:tcPr>
          <w:p w14:paraId="20222929" w14:textId="77777777" w:rsidR="005913C1" w:rsidRPr="00CC69C6" w:rsidRDefault="00C814FB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</w:p>
        </w:tc>
      </w:tr>
      <w:tr w:rsidR="005913C1" w:rsidRPr="00CC69C6" w14:paraId="2022292E" w14:textId="77777777" w:rsidTr="00021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2B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2022292C" w14:textId="77777777" w:rsidR="005913C1" w:rsidRPr="00CC69C6" w:rsidRDefault="005913C1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14:paraId="2022292D" w14:textId="77777777" w:rsidR="005913C1" w:rsidRPr="00CC69C6" w:rsidRDefault="00C814FB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</w:p>
        </w:tc>
      </w:tr>
      <w:tr w:rsidR="005913C1" w:rsidRPr="00CC69C6" w14:paraId="20222932" w14:textId="77777777" w:rsidTr="0002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2F" w14:textId="77777777" w:rsidR="005913C1" w:rsidRPr="00CC69C6" w:rsidRDefault="005913C1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14:paraId="20222930" w14:textId="77777777" w:rsidR="005913C1" w:rsidRPr="00CC69C6" w:rsidRDefault="005913C1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vAlign w:val="center"/>
          </w:tcPr>
          <w:p w14:paraId="20222931" w14:textId="77777777" w:rsidR="005913C1" w:rsidRPr="00CC69C6" w:rsidRDefault="00C814FB" w:rsidP="00021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No evidence of student understanding in submitted work</w:t>
            </w:r>
          </w:p>
        </w:tc>
      </w:tr>
      <w:tr w:rsidR="00C814FB" w:rsidRPr="00CC69C6" w14:paraId="20222936" w14:textId="77777777" w:rsidTr="00021C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0222933" w14:textId="77777777" w:rsidR="00C814FB" w:rsidRPr="00CC69C6" w:rsidRDefault="00C814FB" w:rsidP="000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14:paraId="20222934" w14:textId="77777777" w:rsidR="00C814FB" w:rsidRPr="00CC69C6" w:rsidRDefault="00C814FB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vAlign w:val="center"/>
          </w:tcPr>
          <w:p w14:paraId="20222935" w14:textId="77777777" w:rsidR="00C814FB" w:rsidRPr="00CC69C6" w:rsidRDefault="00C814FB" w:rsidP="00021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C6">
              <w:rPr>
                <w:rFonts w:ascii="Times New Roman" w:hAnsi="Times New Roman" w:cs="Times New Roman"/>
                <w:sz w:val="24"/>
                <w:szCs w:val="24"/>
              </w:rPr>
              <w:t>Student has not submitted evidence</w:t>
            </w:r>
          </w:p>
        </w:tc>
      </w:tr>
    </w:tbl>
    <w:p w14:paraId="20222937" w14:textId="77777777" w:rsidR="005913C1" w:rsidRPr="00CC69C6" w:rsidRDefault="005913C1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22938" w14:textId="77777777" w:rsidR="00400E6B" w:rsidRPr="00CC69C6" w:rsidRDefault="00C32FE5" w:rsidP="00A9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Students are offered multiple opportunities to demonstrate proficiency. If a student does</w:t>
      </w:r>
      <w:r w:rsidR="003C7E44" w:rsidRPr="00CC69C6">
        <w:rPr>
          <w:rFonts w:ascii="Times New Roman" w:hAnsi="Times New Roman" w:cs="Times New Roman"/>
          <w:sz w:val="24"/>
          <w:szCs w:val="24"/>
        </w:rPr>
        <w:t xml:space="preserve"> not turn in a </w:t>
      </w:r>
      <w:r w:rsidR="00021CAD" w:rsidRPr="00CC69C6">
        <w:rPr>
          <w:rFonts w:ascii="Times New Roman" w:hAnsi="Times New Roman" w:cs="Times New Roman"/>
          <w:sz w:val="24"/>
          <w:szCs w:val="24"/>
        </w:rPr>
        <w:t>task</w:t>
      </w:r>
      <w:r w:rsidR="003C7E44" w:rsidRPr="00CC69C6">
        <w:rPr>
          <w:rFonts w:ascii="Times New Roman" w:hAnsi="Times New Roman" w:cs="Times New Roman"/>
          <w:sz w:val="24"/>
          <w:szCs w:val="24"/>
        </w:rPr>
        <w:t xml:space="preserve">, an </w:t>
      </w:r>
      <w:r w:rsidR="003C7E44" w:rsidRPr="00CC69C6">
        <w:rPr>
          <w:rFonts w:ascii="Times New Roman" w:hAnsi="Times New Roman" w:cs="Times New Roman"/>
          <w:i/>
          <w:sz w:val="24"/>
          <w:szCs w:val="24"/>
        </w:rPr>
        <w:t>M</w:t>
      </w:r>
      <w:r w:rsidR="003C7E44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Pr="00CC69C6">
        <w:rPr>
          <w:rFonts w:ascii="Times New Roman" w:hAnsi="Times New Roman" w:cs="Times New Roman"/>
          <w:sz w:val="24"/>
          <w:szCs w:val="24"/>
        </w:rPr>
        <w:t>is designated on Infinite Campus to show that a judgment against th</w:t>
      </w:r>
      <w:r w:rsidR="00A97F42" w:rsidRPr="00CC69C6">
        <w:rPr>
          <w:rFonts w:ascii="Times New Roman" w:hAnsi="Times New Roman" w:cs="Times New Roman"/>
          <w:sz w:val="24"/>
          <w:szCs w:val="24"/>
        </w:rPr>
        <w:t>e standard could not be made; however, s</w:t>
      </w:r>
      <w:r w:rsidRPr="00CC69C6">
        <w:rPr>
          <w:rFonts w:ascii="Times New Roman" w:hAnsi="Times New Roman" w:cs="Times New Roman"/>
          <w:sz w:val="24"/>
          <w:szCs w:val="24"/>
        </w:rPr>
        <w:t>tudents may still turn in the assignment as evidence of their learning</w:t>
      </w:r>
      <w:r w:rsidR="00A97F42" w:rsidRPr="00CC69C6">
        <w:rPr>
          <w:rFonts w:ascii="Times New Roman" w:hAnsi="Times New Roman" w:cs="Times New Roman"/>
          <w:sz w:val="24"/>
          <w:szCs w:val="24"/>
        </w:rPr>
        <w:t xml:space="preserve"> with no</w:t>
      </w:r>
      <w:r w:rsidR="00021CAD" w:rsidRPr="00CC69C6">
        <w:rPr>
          <w:rFonts w:ascii="Times New Roman" w:hAnsi="Times New Roman" w:cs="Times New Roman"/>
          <w:sz w:val="24"/>
          <w:szCs w:val="24"/>
        </w:rPr>
        <w:t xml:space="preserve"> academic</w:t>
      </w:r>
      <w:r w:rsidR="00A97F42" w:rsidRPr="00CC69C6">
        <w:rPr>
          <w:rFonts w:ascii="Times New Roman" w:hAnsi="Times New Roman" w:cs="Times New Roman"/>
          <w:sz w:val="24"/>
          <w:szCs w:val="24"/>
        </w:rPr>
        <w:t xml:space="preserve"> penalty</w:t>
      </w:r>
      <w:r w:rsidRPr="00CC69C6">
        <w:rPr>
          <w:rFonts w:ascii="Times New Roman" w:hAnsi="Times New Roman" w:cs="Times New Roman"/>
          <w:sz w:val="24"/>
          <w:szCs w:val="24"/>
        </w:rPr>
        <w:t>.</w:t>
      </w:r>
      <w:r w:rsidR="00A97F42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400E6B" w:rsidRPr="00CC69C6">
        <w:rPr>
          <w:rFonts w:ascii="Times New Roman" w:hAnsi="Times New Roman" w:cs="Times New Roman"/>
          <w:sz w:val="24"/>
          <w:szCs w:val="24"/>
        </w:rPr>
        <w:t xml:space="preserve">Students and parents/guardians have the ability to monitor levels of achievement on Infinite Campus at any time. In addition, </w:t>
      </w:r>
      <w:r w:rsidR="00374CB3" w:rsidRPr="00CC69C6">
        <w:rPr>
          <w:rFonts w:ascii="Times New Roman" w:hAnsi="Times New Roman" w:cs="Times New Roman"/>
          <w:sz w:val="24"/>
          <w:szCs w:val="24"/>
        </w:rPr>
        <w:t>progress reports</w:t>
      </w:r>
      <w:r w:rsidR="00400E6B" w:rsidRPr="00CC69C6">
        <w:rPr>
          <w:rFonts w:ascii="Times New Roman" w:hAnsi="Times New Roman" w:cs="Times New Roman"/>
          <w:sz w:val="24"/>
          <w:szCs w:val="24"/>
        </w:rPr>
        <w:t xml:space="preserve"> are distributed to parents/guardians every </w:t>
      </w:r>
      <w:r w:rsidR="003C7E44" w:rsidRPr="00CC69C6">
        <w:rPr>
          <w:rFonts w:ascii="Times New Roman" w:hAnsi="Times New Roman" w:cs="Times New Roman"/>
          <w:sz w:val="24"/>
          <w:szCs w:val="24"/>
        </w:rPr>
        <w:t>nine</w:t>
      </w:r>
      <w:r w:rsidR="00400E6B" w:rsidRPr="00CC69C6">
        <w:rPr>
          <w:rFonts w:ascii="Times New Roman" w:hAnsi="Times New Roman" w:cs="Times New Roman"/>
          <w:sz w:val="24"/>
          <w:szCs w:val="24"/>
        </w:rPr>
        <w:t xml:space="preserve"> weeks. </w:t>
      </w:r>
    </w:p>
    <w:p w14:paraId="20222939" w14:textId="77777777" w:rsidR="00400E6B" w:rsidRPr="00CC69C6" w:rsidRDefault="00400E6B" w:rsidP="00400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93A" w14:textId="78C3F14E" w:rsidR="00400E6B" w:rsidRPr="00CC69C6" w:rsidRDefault="00400E6B" w:rsidP="00400E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 xml:space="preserve">Along with this formal reporting, the Merrill website includes regular curriculum updates. Faculty members also </w:t>
      </w:r>
      <w:r w:rsidR="00170803">
        <w:rPr>
          <w:rFonts w:ascii="Times New Roman" w:hAnsi="Times New Roman" w:cs="Times New Roman"/>
          <w:sz w:val="24"/>
          <w:szCs w:val="24"/>
        </w:rPr>
        <w:t>use</w:t>
      </w:r>
      <w:r w:rsidRPr="00CC69C6">
        <w:rPr>
          <w:rFonts w:ascii="Times New Roman" w:hAnsi="Times New Roman" w:cs="Times New Roman"/>
          <w:sz w:val="24"/>
          <w:szCs w:val="24"/>
        </w:rPr>
        <w:t xml:space="preserve"> Infinite Campus, e-mail, phone calls, and parent meetings to update parents and guard</w:t>
      </w:r>
      <w:r w:rsidR="003C7E44" w:rsidRPr="00CC69C6">
        <w:rPr>
          <w:rFonts w:ascii="Times New Roman" w:hAnsi="Times New Roman" w:cs="Times New Roman"/>
          <w:sz w:val="24"/>
          <w:szCs w:val="24"/>
        </w:rPr>
        <w:t>ians about classroom activities and students’ levels of achievement.</w:t>
      </w:r>
    </w:p>
    <w:p w14:paraId="2022293B" w14:textId="77777777" w:rsidR="00374CB3" w:rsidRPr="00CC69C6" w:rsidRDefault="00374CB3" w:rsidP="00400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93C" w14:textId="77777777" w:rsidR="00374CB3" w:rsidRPr="0086764B" w:rsidRDefault="00374CB3" w:rsidP="00374C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The MYP encompasses eight subject areas</w:t>
      </w:r>
      <w:r w:rsidR="00021CAD" w:rsidRPr="00CC69C6">
        <w:rPr>
          <w:rFonts w:ascii="Times New Roman" w:hAnsi="Times New Roman" w:cs="Times New Roman"/>
          <w:sz w:val="24"/>
          <w:szCs w:val="24"/>
        </w:rPr>
        <w:t>, each</w:t>
      </w:r>
      <w:r w:rsidRPr="00CC69C6">
        <w:rPr>
          <w:rFonts w:ascii="Times New Roman" w:hAnsi="Times New Roman" w:cs="Times New Roman"/>
          <w:sz w:val="24"/>
          <w:szCs w:val="24"/>
        </w:rPr>
        <w:t xml:space="preserve"> with specific aims and objectives</w:t>
      </w:r>
      <w:r w:rsidR="00021CAD" w:rsidRPr="00CC69C6">
        <w:rPr>
          <w:rFonts w:ascii="Times New Roman" w:hAnsi="Times New Roman" w:cs="Times New Roman"/>
          <w:sz w:val="24"/>
          <w:szCs w:val="24"/>
        </w:rPr>
        <w:t>. The table below represents criterion categories in which each student is assessed</w:t>
      </w:r>
      <w:r w:rsidR="00021CAD" w:rsidRPr="00402C83">
        <w:rPr>
          <w:rFonts w:ascii="Times New Roman" w:hAnsi="Times New Roman" w:cs="Times New Roman"/>
          <w:sz w:val="24"/>
          <w:szCs w:val="24"/>
        </w:rPr>
        <w:t xml:space="preserve">. </w:t>
      </w:r>
      <w:r w:rsidR="0079134E" w:rsidRPr="00402C83">
        <w:rPr>
          <w:rFonts w:ascii="Times New Roman" w:hAnsi="Times New Roman" w:cs="Times New Roman"/>
          <w:sz w:val="24"/>
          <w:szCs w:val="24"/>
        </w:rPr>
        <w:t xml:space="preserve"> The objective strands under each criterion are </w:t>
      </w:r>
      <w:r w:rsidRPr="00402C83">
        <w:rPr>
          <w:rFonts w:ascii="Times New Roman" w:hAnsi="Times New Roman" w:cs="Times New Roman"/>
          <w:sz w:val="24"/>
          <w:szCs w:val="24"/>
        </w:rPr>
        <w:t>assessed a minimum of two times each year.</w:t>
      </w:r>
      <w:r w:rsidRPr="0086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293D" w14:textId="77777777" w:rsidR="00374CB3" w:rsidRPr="00CC69C6" w:rsidRDefault="00374CB3" w:rsidP="00374CB3">
      <w:pPr>
        <w:pStyle w:val="NoSpacing"/>
        <w:ind w:lef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74CB3" w:rsidRPr="00CC69C6" w14:paraId="20222943" w14:textId="77777777" w:rsidTr="009C2B64">
        <w:tc>
          <w:tcPr>
            <w:tcW w:w="1915" w:type="dxa"/>
            <w:shd w:val="clear" w:color="auto" w:fill="auto"/>
          </w:tcPr>
          <w:p w14:paraId="2022293E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Subject Criteria</w:t>
            </w:r>
          </w:p>
        </w:tc>
        <w:tc>
          <w:tcPr>
            <w:tcW w:w="1915" w:type="dxa"/>
            <w:shd w:val="clear" w:color="auto" w:fill="auto"/>
          </w:tcPr>
          <w:p w14:paraId="2022293F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Arts</w:t>
            </w:r>
          </w:p>
        </w:tc>
        <w:tc>
          <w:tcPr>
            <w:tcW w:w="1915" w:type="dxa"/>
            <w:shd w:val="clear" w:color="auto" w:fill="auto"/>
          </w:tcPr>
          <w:p w14:paraId="20222940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Individuals &amp; Societies</w:t>
            </w:r>
          </w:p>
        </w:tc>
        <w:tc>
          <w:tcPr>
            <w:tcW w:w="1915" w:type="dxa"/>
            <w:shd w:val="clear" w:color="auto" w:fill="auto"/>
          </w:tcPr>
          <w:p w14:paraId="20222941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Language &amp; Literature</w:t>
            </w:r>
          </w:p>
        </w:tc>
        <w:tc>
          <w:tcPr>
            <w:tcW w:w="1916" w:type="dxa"/>
            <w:shd w:val="clear" w:color="auto" w:fill="auto"/>
          </w:tcPr>
          <w:p w14:paraId="20222942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Language Acquisition</w:t>
            </w:r>
          </w:p>
        </w:tc>
      </w:tr>
      <w:tr w:rsidR="00374CB3" w:rsidRPr="00CC69C6" w14:paraId="20222949" w14:textId="77777777" w:rsidTr="009C2B64">
        <w:tc>
          <w:tcPr>
            <w:tcW w:w="1915" w:type="dxa"/>
            <w:shd w:val="clear" w:color="auto" w:fill="auto"/>
          </w:tcPr>
          <w:p w14:paraId="20222944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A</w:t>
            </w:r>
          </w:p>
        </w:tc>
        <w:tc>
          <w:tcPr>
            <w:tcW w:w="1915" w:type="dxa"/>
            <w:shd w:val="clear" w:color="auto" w:fill="auto"/>
          </w:tcPr>
          <w:p w14:paraId="20222945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1915" w:type="dxa"/>
            <w:shd w:val="clear" w:color="auto" w:fill="auto"/>
          </w:tcPr>
          <w:p w14:paraId="20222946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1915" w:type="dxa"/>
            <w:shd w:val="clear" w:color="auto" w:fill="auto"/>
          </w:tcPr>
          <w:p w14:paraId="20222947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Analyzing</w:t>
            </w:r>
          </w:p>
        </w:tc>
        <w:tc>
          <w:tcPr>
            <w:tcW w:w="1916" w:type="dxa"/>
            <w:shd w:val="clear" w:color="auto" w:fill="auto"/>
          </w:tcPr>
          <w:p w14:paraId="20222948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Comprehending Spoken &amp; Visual Text</w:t>
            </w:r>
          </w:p>
        </w:tc>
      </w:tr>
      <w:tr w:rsidR="00374CB3" w:rsidRPr="00CC69C6" w14:paraId="2022294F" w14:textId="77777777" w:rsidTr="009C2B64">
        <w:tc>
          <w:tcPr>
            <w:tcW w:w="1915" w:type="dxa"/>
            <w:shd w:val="clear" w:color="auto" w:fill="auto"/>
          </w:tcPr>
          <w:p w14:paraId="2022294A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B</w:t>
            </w:r>
          </w:p>
        </w:tc>
        <w:tc>
          <w:tcPr>
            <w:tcW w:w="1915" w:type="dxa"/>
            <w:shd w:val="clear" w:color="auto" w:fill="auto"/>
          </w:tcPr>
          <w:p w14:paraId="2022294B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Developing Skills</w:t>
            </w:r>
          </w:p>
        </w:tc>
        <w:tc>
          <w:tcPr>
            <w:tcW w:w="1915" w:type="dxa"/>
            <w:shd w:val="clear" w:color="auto" w:fill="auto"/>
          </w:tcPr>
          <w:p w14:paraId="2022294C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Investigating</w:t>
            </w:r>
          </w:p>
        </w:tc>
        <w:tc>
          <w:tcPr>
            <w:tcW w:w="1915" w:type="dxa"/>
            <w:shd w:val="clear" w:color="auto" w:fill="auto"/>
          </w:tcPr>
          <w:p w14:paraId="2022294D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Organizing</w:t>
            </w:r>
          </w:p>
        </w:tc>
        <w:tc>
          <w:tcPr>
            <w:tcW w:w="1916" w:type="dxa"/>
            <w:shd w:val="clear" w:color="auto" w:fill="auto"/>
          </w:tcPr>
          <w:p w14:paraId="2022294E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Comprehending Written &amp; Visual Text</w:t>
            </w:r>
          </w:p>
        </w:tc>
      </w:tr>
      <w:tr w:rsidR="00374CB3" w:rsidRPr="00CC69C6" w14:paraId="20222955" w14:textId="77777777" w:rsidTr="009C2B64">
        <w:tc>
          <w:tcPr>
            <w:tcW w:w="1915" w:type="dxa"/>
            <w:shd w:val="clear" w:color="auto" w:fill="auto"/>
          </w:tcPr>
          <w:p w14:paraId="20222950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C</w:t>
            </w:r>
          </w:p>
        </w:tc>
        <w:tc>
          <w:tcPr>
            <w:tcW w:w="1915" w:type="dxa"/>
            <w:shd w:val="clear" w:color="auto" w:fill="auto"/>
          </w:tcPr>
          <w:p w14:paraId="20222951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Thinking Creatively</w:t>
            </w:r>
          </w:p>
        </w:tc>
        <w:tc>
          <w:tcPr>
            <w:tcW w:w="1915" w:type="dxa"/>
            <w:shd w:val="clear" w:color="auto" w:fill="auto"/>
          </w:tcPr>
          <w:p w14:paraId="20222952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Communicating</w:t>
            </w:r>
          </w:p>
        </w:tc>
        <w:tc>
          <w:tcPr>
            <w:tcW w:w="1915" w:type="dxa"/>
            <w:shd w:val="clear" w:color="auto" w:fill="auto"/>
          </w:tcPr>
          <w:p w14:paraId="20222953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Producing Text</w:t>
            </w:r>
          </w:p>
        </w:tc>
        <w:tc>
          <w:tcPr>
            <w:tcW w:w="1916" w:type="dxa"/>
            <w:shd w:val="clear" w:color="auto" w:fill="auto"/>
          </w:tcPr>
          <w:p w14:paraId="20222954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Communicating in Response to Spoken, Written &amp; Visual Text</w:t>
            </w:r>
          </w:p>
        </w:tc>
      </w:tr>
      <w:tr w:rsidR="00374CB3" w:rsidRPr="00CC69C6" w14:paraId="2022295B" w14:textId="77777777" w:rsidTr="009C2B64">
        <w:trPr>
          <w:trHeight w:val="872"/>
        </w:trPr>
        <w:tc>
          <w:tcPr>
            <w:tcW w:w="1915" w:type="dxa"/>
            <w:shd w:val="clear" w:color="auto" w:fill="auto"/>
          </w:tcPr>
          <w:p w14:paraId="20222956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lastRenderedPageBreak/>
              <w:t>Criterion D</w:t>
            </w:r>
          </w:p>
        </w:tc>
        <w:tc>
          <w:tcPr>
            <w:tcW w:w="1915" w:type="dxa"/>
            <w:shd w:val="clear" w:color="auto" w:fill="auto"/>
          </w:tcPr>
          <w:p w14:paraId="20222957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Responding</w:t>
            </w:r>
          </w:p>
        </w:tc>
        <w:tc>
          <w:tcPr>
            <w:tcW w:w="1915" w:type="dxa"/>
            <w:shd w:val="clear" w:color="auto" w:fill="auto"/>
          </w:tcPr>
          <w:p w14:paraId="20222958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Thinking Critically</w:t>
            </w:r>
          </w:p>
        </w:tc>
        <w:tc>
          <w:tcPr>
            <w:tcW w:w="1915" w:type="dxa"/>
            <w:shd w:val="clear" w:color="auto" w:fill="auto"/>
          </w:tcPr>
          <w:p w14:paraId="20222959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Using Language</w:t>
            </w:r>
          </w:p>
        </w:tc>
        <w:tc>
          <w:tcPr>
            <w:tcW w:w="1916" w:type="dxa"/>
            <w:shd w:val="clear" w:color="auto" w:fill="auto"/>
          </w:tcPr>
          <w:p w14:paraId="2022295A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Using Language in Spoken &amp; Written Form</w:t>
            </w:r>
          </w:p>
        </w:tc>
      </w:tr>
    </w:tbl>
    <w:p w14:paraId="2022295C" w14:textId="77777777" w:rsidR="00374CB3" w:rsidRPr="00CC69C6" w:rsidRDefault="00374CB3" w:rsidP="00374CB3">
      <w:pPr>
        <w:pStyle w:val="NoSpacing"/>
        <w:rPr>
          <w:sz w:val="24"/>
          <w:szCs w:val="24"/>
        </w:rPr>
      </w:pPr>
    </w:p>
    <w:p w14:paraId="2022295D" w14:textId="77777777" w:rsidR="00374CB3" w:rsidRPr="00CC69C6" w:rsidRDefault="00374CB3" w:rsidP="00374CB3">
      <w:pPr>
        <w:pStyle w:val="NoSpacing"/>
        <w:rPr>
          <w:sz w:val="24"/>
          <w:szCs w:val="24"/>
        </w:rPr>
      </w:pPr>
    </w:p>
    <w:p w14:paraId="2022295E" w14:textId="77777777" w:rsidR="00374CB3" w:rsidRPr="00CC69C6" w:rsidRDefault="00374CB3" w:rsidP="00374CB3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74CB3" w:rsidRPr="00CC69C6" w14:paraId="20222964" w14:textId="77777777" w:rsidTr="009C2B64">
        <w:tc>
          <w:tcPr>
            <w:tcW w:w="1915" w:type="dxa"/>
            <w:shd w:val="clear" w:color="auto" w:fill="auto"/>
          </w:tcPr>
          <w:p w14:paraId="2022295F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Subject Criteria</w:t>
            </w:r>
          </w:p>
        </w:tc>
        <w:tc>
          <w:tcPr>
            <w:tcW w:w="1915" w:type="dxa"/>
            <w:shd w:val="clear" w:color="auto" w:fill="auto"/>
          </w:tcPr>
          <w:p w14:paraId="20222960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1915" w:type="dxa"/>
            <w:shd w:val="clear" w:color="auto" w:fill="auto"/>
          </w:tcPr>
          <w:p w14:paraId="20222961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Physical Education &amp; Health</w:t>
            </w:r>
          </w:p>
        </w:tc>
        <w:tc>
          <w:tcPr>
            <w:tcW w:w="1915" w:type="dxa"/>
            <w:shd w:val="clear" w:color="auto" w:fill="auto"/>
          </w:tcPr>
          <w:p w14:paraId="20222962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Sciences</w:t>
            </w:r>
          </w:p>
        </w:tc>
        <w:tc>
          <w:tcPr>
            <w:tcW w:w="1916" w:type="dxa"/>
            <w:shd w:val="clear" w:color="auto" w:fill="auto"/>
          </w:tcPr>
          <w:p w14:paraId="20222963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Design</w:t>
            </w:r>
          </w:p>
        </w:tc>
      </w:tr>
      <w:tr w:rsidR="00374CB3" w:rsidRPr="00CC69C6" w14:paraId="2022296A" w14:textId="77777777" w:rsidTr="009C2B64">
        <w:tc>
          <w:tcPr>
            <w:tcW w:w="1915" w:type="dxa"/>
            <w:shd w:val="clear" w:color="auto" w:fill="auto"/>
          </w:tcPr>
          <w:p w14:paraId="20222965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A</w:t>
            </w:r>
          </w:p>
        </w:tc>
        <w:tc>
          <w:tcPr>
            <w:tcW w:w="1915" w:type="dxa"/>
            <w:shd w:val="clear" w:color="auto" w:fill="auto"/>
          </w:tcPr>
          <w:p w14:paraId="20222966" w14:textId="77777777" w:rsidR="00374CB3" w:rsidRPr="00CC69C6" w:rsidRDefault="00374CB3" w:rsidP="00CC69C6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 xml:space="preserve">Knowledge </w:t>
            </w:r>
            <w:r w:rsidR="00CC69C6">
              <w:rPr>
                <w:sz w:val="24"/>
                <w:szCs w:val="24"/>
              </w:rPr>
              <w:t>&amp;</w:t>
            </w:r>
            <w:r w:rsidRPr="00CC69C6">
              <w:rPr>
                <w:sz w:val="24"/>
                <w:szCs w:val="24"/>
              </w:rPr>
              <w:t xml:space="preserve"> understanding</w:t>
            </w:r>
          </w:p>
        </w:tc>
        <w:tc>
          <w:tcPr>
            <w:tcW w:w="1915" w:type="dxa"/>
            <w:shd w:val="clear" w:color="auto" w:fill="auto"/>
          </w:tcPr>
          <w:p w14:paraId="20222967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Knowing &amp; Understanding</w:t>
            </w:r>
          </w:p>
        </w:tc>
        <w:tc>
          <w:tcPr>
            <w:tcW w:w="1915" w:type="dxa"/>
            <w:shd w:val="clear" w:color="auto" w:fill="auto"/>
          </w:tcPr>
          <w:p w14:paraId="20222968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Knowing &amp; Understanding</w:t>
            </w:r>
          </w:p>
        </w:tc>
        <w:tc>
          <w:tcPr>
            <w:tcW w:w="1916" w:type="dxa"/>
            <w:shd w:val="clear" w:color="auto" w:fill="auto"/>
          </w:tcPr>
          <w:p w14:paraId="20222969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Inquiring &amp; Analyzing</w:t>
            </w:r>
          </w:p>
        </w:tc>
      </w:tr>
      <w:tr w:rsidR="00374CB3" w:rsidRPr="00CC69C6" w14:paraId="20222970" w14:textId="77777777" w:rsidTr="009C2B64">
        <w:tc>
          <w:tcPr>
            <w:tcW w:w="1915" w:type="dxa"/>
            <w:shd w:val="clear" w:color="auto" w:fill="auto"/>
          </w:tcPr>
          <w:p w14:paraId="2022296B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B</w:t>
            </w:r>
          </w:p>
        </w:tc>
        <w:tc>
          <w:tcPr>
            <w:tcW w:w="1915" w:type="dxa"/>
            <w:shd w:val="clear" w:color="auto" w:fill="auto"/>
          </w:tcPr>
          <w:p w14:paraId="2022296C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Investigating patterns</w:t>
            </w:r>
          </w:p>
        </w:tc>
        <w:tc>
          <w:tcPr>
            <w:tcW w:w="1915" w:type="dxa"/>
            <w:shd w:val="clear" w:color="auto" w:fill="auto"/>
          </w:tcPr>
          <w:p w14:paraId="2022296D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Planning for Performance</w:t>
            </w:r>
          </w:p>
        </w:tc>
        <w:tc>
          <w:tcPr>
            <w:tcW w:w="1915" w:type="dxa"/>
            <w:shd w:val="clear" w:color="auto" w:fill="auto"/>
          </w:tcPr>
          <w:p w14:paraId="2022296E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Inquiring &amp; Designing</w:t>
            </w:r>
          </w:p>
        </w:tc>
        <w:tc>
          <w:tcPr>
            <w:tcW w:w="1916" w:type="dxa"/>
            <w:shd w:val="clear" w:color="auto" w:fill="auto"/>
          </w:tcPr>
          <w:p w14:paraId="2022296F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Developing Ideas</w:t>
            </w:r>
          </w:p>
        </w:tc>
      </w:tr>
      <w:tr w:rsidR="00374CB3" w:rsidRPr="00CC69C6" w14:paraId="20222976" w14:textId="77777777" w:rsidTr="009C2B64">
        <w:tc>
          <w:tcPr>
            <w:tcW w:w="1915" w:type="dxa"/>
            <w:shd w:val="clear" w:color="auto" w:fill="auto"/>
          </w:tcPr>
          <w:p w14:paraId="20222971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C</w:t>
            </w:r>
          </w:p>
        </w:tc>
        <w:tc>
          <w:tcPr>
            <w:tcW w:w="1915" w:type="dxa"/>
            <w:shd w:val="clear" w:color="auto" w:fill="auto"/>
          </w:tcPr>
          <w:p w14:paraId="20222972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Communicating</w:t>
            </w:r>
          </w:p>
        </w:tc>
        <w:tc>
          <w:tcPr>
            <w:tcW w:w="1915" w:type="dxa"/>
            <w:shd w:val="clear" w:color="auto" w:fill="auto"/>
          </w:tcPr>
          <w:p w14:paraId="20222973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Applying &amp; Performing</w:t>
            </w:r>
          </w:p>
        </w:tc>
        <w:tc>
          <w:tcPr>
            <w:tcW w:w="1915" w:type="dxa"/>
            <w:shd w:val="clear" w:color="auto" w:fill="auto"/>
          </w:tcPr>
          <w:p w14:paraId="20222974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Processing &amp; Evaluating</w:t>
            </w:r>
          </w:p>
        </w:tc>
        <w:tc>
          <w:tcPr>
            <w:tcW w:w="1916" w:type="dxa"/>
            <w:shd w:val="clear" w:color="auto" w:fill="auto"/>
          </w:tcPr>
          <w:p w14:paraId="20222975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Creating the Solution</w:t>
            </w:r>
          </w:p>
        </w:tc>
      </w:tr>
      <w:tr w:rsidR="00374CB3" w:rsidRPr="00CC69C6" w14:paraId="2022297C" w14:textId="77777777" w:rsidTr="009C2B64">
        <w:tc>
          <w:tcPr>
            <w:tcW w:w="1915" w:type="dxa"/>
            <w:shd w:val="clear" w:color="auto" w:fill="auto"/>
          </w:tcPr>
          <w:p w14:paraId="20222977" w14:textId="77777777" w:rsidR="00374CB3" w:rsidRPr="00CC69C6" w:rsidRDefault="00374CB3" w:rsidP="009C2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C69C6">
              <w:rPr>
                <w:b/>
                <w:sz w:val="24"/>
                <w:szCs w:val="24"/>
              </w:rPr>
              <w:t>Criterion D</w:t>
            </w:r>
          </w:p>
        </w:tc>
        <w:tc>
          <w:tcPr>
            <w:tcW w:w="1915" w:type="dxa"/>
            <w:shd w:val="clear" w:color="auto" w:fill="auto"/>
          </w:tcPr>
          <w:p w14:paraId="20222978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Applying Mathematics in Real-Life Contexts</w:t>
            </w:r>
          </w:p>
        </w:tc>
        <w:tc>
          <w:tcPr>
            <w:tcW w:w="1915" w:type="dxa"/>
            <w:shd w:val="clear" w:color="auto" w:fill="auto"/>
          </w:tcPr>
          <w:p w14:paraId="20222979" w14:textId="77777777" w:rsidR="00374CB3" w:rsidRPr="00CC69C6" w:rsidRDefault="00374CB3" w:rsidP="00CC69C6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 xml:space="preserve">Reflecting </w:t>
            </w:r>
            <w:r w:rsidR="00CC69C6">
              <w:rPr>
                <w:sz w:val="24"/>
                <w:szCs w:val="24"/>
              </w:rPr>
              <w:t>&amp;</w:t>
            </w:r>
            <w:r w:rsidRPr="00CC69C6">
              <w:rPr>
                <w:sz w:val="24"/>
                <w:szCs w:val="24"/>
              </w:rPr>
              <w:t xml:space="preserve"> Improving Performance </w:t>
            </w:r>
          </w:p>
        </w:tc>
        <w:tc>
          <w:tcPr>
            <w:tcW w:w="1915" w:type="dxa"/>
            <w:shd w:val="clear" w:color="auto" w:fill="auto"/>
          </w:tcPr>
          <w:p w14:paraId="2022297A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Reflecting on the Impacts of Science</w:t>
            </w:r>
          </w:p>
        </w:tc>
        <w:tc>
          <w:tcPr>
            <w:tcW w:w="1916" w:type="dxa"/>
            <w:shd w:val="clear" w:color="auto" w:fill="auto"/>
          </w:tcPr>
          <w:p w14:paraId="2022297B" w14:textId="77777777" w:rsidR="00374CB3" w:rsidRPr="00CC69C6" w:rsidRDefault="00374CB3" w:rsidP="009C2B64">
            <w:pPr>
              <w:pStyle w:val="NoSpacing"/>
              <w:rPr>
                <w:sz w:val="24"/>
                <w:szCs w:val="24"/>
              </w:rPr>
            </w:pPr>
            <w:r w:rsidRPr="00CC69C6">
              <w:rPr>
                <w:sz w:val="24"/>
                <w:szCs w:val="24"/>
              </w:rPr>
              <w:t>Evaluating</w:t>
            </w:r>
          </w:p>
        </w:tc>
      </w:tr>
    </w:tbl>
    <w:p w14:paraId="2022297E" w14:textId="77777777" w:rsidR="00374CB3" w:rsidRPr="00CC69C6" w:rsidRDefault="00374CB3" w:rsidP="00400E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97F" w14:textId="77777777" w:rsidR="00400E6B" w:rsidRPr="00CC69C6" w:rsidRDefault="00400E6B" w:rsidP="0037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22980" w14:textId="77777777" w:rsidR="00D63652" w:rsidRPr="00CC69C6" w:rsidRDefault="0083428D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6" w:name="OLE_LINK3"/>
      <w:bookmarkStart w:id="7" w:name="OLE_LINK4"/>
      <w:r w:rsidRPr="00CC69C6">
        <w:rPr>
          <w:rFonts w:ascii="Times New Roman" w:hAnsi="Times New Roman" w:cs="Times New Roman"/>
          <w:b/>
          <w:sz w:val="24"/>
          <w:szCs w:val="24"/>
        </w:rPr>
        <w:t>Parent Communication Nights</w:t>
      </w:r>
    </w:p>
    <w:p w14:paraId="20222981" w14:textId="77777777" w:rsidR="005913C1" w:rsidRPr="00CC69C6" w:rsidRDefault="005913C1" w:rsidP="000060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982" w14:textId="572A16DD" w:rsidR="00D63652" w:rsidRPr="00CC69C6" w:rsidRDefault="006E183C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 xml:space="preserve">Merrill holds </w:t>
      </w:r>
      <w:r w:rsidR="0017080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545F73" w:rsidRPr="00CC69C6">
        <w:rPr>
          <w:rFonts w:ascii="Times New Roman" w:hAnsi="Times New Roman" w:cs="Times New Roman"/>
          <w:sz w:val="24"/>
          <w:szCs w:val="24"/>
        </w:rPr>
        <w:t>parent</w:t>
      </w:r>
      <w:r w:rsidR="000C4A26" w:rsidRPr="00CC69C6">
        <w:rPr>
          <w:rFonts w:ascii="Times New Roman" w:hAnsi="Times New Roman" w:cs="Times New Roman"/>
          <w:sz w:val="24"/>
          <w:szCs w:val="24"/>
        </w:rPr>
        <w:t xml:space="preserve"> </w:t>
      </w:r>
      <w:r w:rsidR="00545F73" w:rsidRPr="00CC69C6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170803">
        <w:rPr>
          <w:rFonts w:ascii="Times New Roman" w:hAnsi="Times New Roman" w:cs="Times New Roman"/>
          <w:sz w:val="24"/>
          <w:szCs w:val="24"/>
        </w:rPr>
        <w:t>events</w:t>
      </w:r>
      <w:r w:rsidR="000C4A26" w:rsidRPr="00CC69C6">
        <w:rPr>
          <w:rFonts w:ascii="Times New Roman" w:hAnsi="Times New Roman" w:cs="Times New Roman"/>
          <w:sz w:val="24"/>
          <w:szCs w:val="24"/>
        </w:rPr>
        <w:t xml:space="preserve"> for each grade level.  During these </w:t>
      </w:r>
      <w:r w:rsidRPr="00CC69C6">
        <w:rPr>
          <w:rFonts w:ascii="Times New Roman" w:hAnsi="Times New Roman" w:cs="Times New Roman"/>
          <w:sz w:val="24"/>
          <w:szCs w:val="24"/>
        </w:rPr>
        <w:t>conferences, s</w:t>
      </w:r>
      <w:r w:rsidR="00D63652" w:rsidRPr="00CC69C6">
        <w:rPr>
          <w:rFonts w:ascii="Times New Roman" w:hAnsi="Times New Roman" w:cs="Times New Roman"/>
          <w:sz w:val="24"/>
          <w:szCs w:val="24"/>
        </w:rPr>
        <w:t xml:space="preserve">tudents </w:t>
      </w:r>
      <w:r w:rsidRPr="00CC69C6">
        <w:rPr>
          <w:rFonts w:ascii="Times New Roman" w:hAnsi="Times New Roman" w:cs="Times New Roman"/>
          <w:sz w:val="24"/>
          <w:szCs w:val="24"/>
        </w:rPr>
        <w:t xml:space="preserve">share their </w:t>
      </w:r>
      <w:r w:rsidR="00545F73" w:rsidRPr="00CC69C6">
        <w:rPr>
          <w:rFonts w:ascii="Times New Roman" w:hAnsi="Times New Roman" w:cs="Times New Roman"/>
          <w:sz w:val="24"/>
          <w:szCs w:val="24"/>
        </w:rPr>
        <w:t xml:space="preserve">work and reflect on their progress </w:t>
      </w:r>
      <w:r w:rsidR="000C4A26" w:rsidRPr="00CC69C6">
        <w:rPr>
          <w:rFonts w:ascii="Times New Roman" w:hAnsi="Times New Roman" w:cs="Times New Roman"/>
          <w:sz w:val="24"/>
          <w:szCs w:val="24"/>
        </w:rPr>
        <w:t xml:space="preserve">in each subject area of the MYP.  </w:t>
      </w:r>
    </w:p>
    <w:p w14:paraId="20222983" w14:textId="77777777" w:rsidR="00400E6B" w:rsidRPr="00CC69C6" w:rsidRDefault="00400E6B" w:rsidP="00006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6"/>
    <w:bookmarkEnd w:id="7"/>
    <w:p w14:paraId="20222984" w14:textId="77777777" w:rsidR="008F7FA5" w:rsidRPr="00CC69C6" w:rsidRDefault="008F7FA5" w:rsidP="008F7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Mandatory Assessments</w:t>
      </w:r>
    </w:p>
    <w:p w14:paraId="20222985" w14:textId="77777777" w:rsidR="005913C1" w:rsidRPr="00CC69C6" w:rsidRDefault="005913C1" w:rsidP="008F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22986" w14:textId="77777777" w:rsidR="008F7FA5" w:rsidRPr="00CC69C6" w:rsidRDefault="008F7FA5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Iowa Assessments</w:t>
      </w:r>
    </w:p>
    <w:p w14:paraId="20222987" w14:textId="5CE98F0E" w:rsidR="008F7FA5" w:rsidRPr="00CC69C6" w:rsidRDefault="008F7FA5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 xml:space="preserve">Subject-area </w:t>
      </w:r>
      <w:r w:rsidR="00170803">
        <w:rPr>
          <w:rFonts w:ascii="Times New Roman" w:hAnsi="Times New Roman" w:cs="Times New Roman"/>
          <w:sz w:val="24"/>
          <w:szCs w:val="24"/>
        </w:rPr>
        <w:t>DMPS</w:t>
      </w:r>
      <w:bookmarkStart w:id="8" w:name="_GoBack"/>
      <w:bookmarkEnd w:id="8"/>
      <w:r w:rsidRPr="00CC69C6">
        <w:rPr>
          <w:rFonts w:ascii="Times New Roman" w:hAnsi="Times New Roman" w:cs="Times New Roman"/>
          <w:sz w:val="24"/>
          <w:szCs w:val="24"/>
        </w:rPr>
        <w:t xml:space="preserve"> Tiered Assessments</w:t>
      </w:r>
    </w:p>
    <w:p w14:paraId="20222988" w14:textId="77777777" w:rsidR="008F7FA5" w:rsidRPr="00CC69C6" w:rsidRDefault="008F7FA5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Scholastic Reading Inventory</w:t>
      </w:r>
    </w:p>
    <w:p w14:paraId="20222989" w14:textId="77777777" w:rsidR="008F7FA5" w:rsidRPr="00CC69C6" w:rsidRDefault="008F7FA5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Scholastic Math Inventory</w:t>
      </w:r>
    </w:p>
    <w:p w14:paraId="2022298A" w14:textId="77777777" w:rsidR="008F7FA5" w:rsidRPr="00CC69C6" w:rsidRDefault="003C7E44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Language Acquisition</w:t>
      </w:r>
      <w:r w:rsidR="008F7FA5" w:rsidRPr="00CC69C6">
        <w:rPr>
          <w:rFonts w:ascii="Times New Roman" w:hAnsi="Times New Roman" w:cs="Times New Roman"/>
          <w:sz w:val="24"/>
          <w:szCs w:val="24"/>
        </w:rPr>
        <w:t xml:space="preserve"> Placement Exam</w:t>
      </w:r>
    </w:p>
    <w:p w14:paraId="2022298B" w14:textId="581BB6F9" w:rsidR="008F7FA5" w:rsidRPr="00CC69C6" w:rsidRDefault="00170803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Proficiency Assessment for the 21</w:t>
      </w:r>
      <w:r w:rsidRPr="001708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(ELPA21)</w:t>
      </w:r>
    </w:p>
    <w:p w14:paraId="2022298C" w14:textId="77777777" w:rsidR="008F7FA5" w:rsidRPr="00CC69C6" w:rsidRDefault="008F7FA5" w:rsidP="008F7FA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Physical Education Fitness Gram</w:t>
      </w:r>
    </w:p>
    <w:p w14:paraId="2022298D" w14:textId="77777777" w:rsidR="008F7FA5" w:rsidRPr="00CC69C6" w:rsidRDefault="008F7FA5" w:rsidP="00925D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98E" w14:textId="77777777" w:rsidR="005140FD" w:rsidRPr="00CC69C6" w:rsidRDefault="005140FD">
      <w:pPr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22298F" w14:textId="77777777" w:rsidR="00925DCD" w:rsidRPr="00CC69C6" w:rsidRDefault="00925DCD" w:rsidP="00925D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lastRenderedPageBreak/>
        <w:t>Academic Integrity</w:t>
      </w:r>
    </w:p>
    <w:p w14:paraId="20222990" w14:textId="77777777" w:rsidR="005140FD" w:rsidRPr="00CC69C6" w:rsidRDefault="005140FD" w:rsidP="00925D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222991" w14:textId="77777777" w:rsidR="00925DCD" w:rsidRPr="00CC69C6" w:rsidRDefault="00925DCD" w:rsidP="00925D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Merrill is dedicated to upholding the academic integrity of its program.  Per Des Moines Public School policy, any student who engages in academic dishonesty will incur a Level One Act of Misconduct. At the discretion of the building administration and faculty, classroom penalties may also occur.</w:t>
      </w:r>
    </w:p>
    <w:p w14:paraId="20222992" w14:textId="77777777" w:rsidR="00925DCD" w:rsidRPr="00CC69C6" w:rsidRDefault="00925DCD" w:rsidP="00925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22993" w14:textId="77777777" w:rsidR="00925DCD" w:rsidRPr="00CC69C6" w:rsidRDefault="00925DCD" w:rsidP="00925DCD">
      <w:p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Please refer to Merrill’s Academic Honesty Policy for further information</w:t>
      </w:r>
      <w:r w:rsidR="00BA4D05" w:rsidRPr="00CC69C6">
        <w:rPr>
          <w:rFonts w:ascii="Times New Roman" w:hAnsi="Times New Roman" w:cs="Times New Roman"/>
          <w:sz w:val="24"/>
          <w:szCs w:val="24"/>
        </w:rPr>
        <w:t xml:space="preserve"> on this subject</w:t>
      </w:r>
      <w:r w:rsidRPr="00CC69C6">
        <w:rPr>
          <w:rFonts w:ascii="Times New Roman" w:hAnsi="Times New Roman" w:cs="Times New Roman"/>
          <w:sz w:val="24"/>
          <w:szCs w:val="24"/>
        </w:rPr>
        <w:t>.</w:t>
      </w:r>
    </w:p>
    <w:p w14:paraId="20222994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5" w14:textId="77777777" w:rsidR="003C7E44" w:rsidRPr="00CC69C6" w:rsidRDefault="003C7E44" w:rsidP="00925DCD">
      <w:pPr>
        <w:rPr>
          <w:rFonts w:ascii="Times New Roman" w:hAnsi="Times New Roman" w:cs="Times New Roman"/>
          <w:b/>
          <w:sz w:val="24"/>
          <w:szCs w:val="24"/>
        </w:rPr>
      </w:pPr>
      <w:r w:rsidRPr="00CC69C6">
        <w:rPr>
          <w:rFonts w:ascii="Times New Roman" w:hAnsi="Times New Roman" w:cs="Times New Roman"/>
          <w:b/>
          <w:sz w:val="24"/>
          <w:szCs w:val="24"/>
        </w:rPr>
        <w:t>MYP Assessment: Further Information</w:t>
      </w:r>
    </w:p>
    <w:p w14:paraId="20222996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Additional information on MYP assessment, including subject-area criterion rubrics and objective strands, can be found the Merrill Middle School website.</w:t>
      </w:r>
    </w:p>
    <w:p w14:paraId="20222997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8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9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A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B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C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D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E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9F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A0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A1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A2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A3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A4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</w:p>
    <w:p w14:paraId="202229A5" w14:textId="77777777" w:rsidR="003C7E44" w:rsidRPr="00CC69C6" w:rsidRDefault="003C7E44" w:rsidP="00925DCD">
      <w:pPr>
        <w:rPr>
          <w:rFonts w:ascii="Times New Roman" w:hAnsi="Times New Roman" w:cs="Times New Roman"/>
          <w:sz w:val="24"/>
          <w:szCs w:val="24"/>
        </w:rPr>
      </w:pPr>
      <w:r w:rsidRPr="00CC69C6">
        <w:rPr>
          <w:rFonts w:ascii="Times New Roman" w:hAnsi="Times New Roman" w:cs="Times New Roman"/>
          <w:sz w:val="24"/>
          <w:szCs w:val="24"/>
        </w:rPr>
        <w:t>Source:</w:t>
      </w:r>
    </w:p>
    <w:p w14:paraId="202229A6" w14:textId="77777777" w:rsidR="007A1695" w:rsidRPr="00CC69C6" w:rsidRDefault="007A1695" w:rsidP="007A16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9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MYP: From Principles into Practice</w:t>
      </w:r>
      <w:r w:rsidRPr="00CC69C6">
        <w:rPr>
          <w:rFonts w:ascii="Times New Roman" w:hAnsi="Times New Roman" w:cs="Times New Roman"/>
          <w:color w:val="000000"/>
          <w:sz w:val="24"/>
          <w:szCs w:val="24"/>
        </w:rPr>
        <w:t xml:space="preserve">. Cardiff: International Baccalaureate Organization, 2014. </w:t>
      </w:r>
    </w:p>
    <w:p w14:paraId="202229A7" w14:textId="77777777" w:rsidR="007A1695" w:rsidRPr="00CC69C6" w:rsidRDefault="007A1695" w:rsidP="007A16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229A8" w14:textId="77777777" w:rsidR="007A1695" w:rsidRPr="00AF6A69" w:rsidRDefault="007A1695" w:rsidP="007A169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C69C6">
        <w:rPr>
          <w:rFonts w:ascii="Times New Roman" w:hAnsi="Times New Roman" w:cs="Times New Roman"/>
          <w:color w:val="000000"/>
          <w:sz w:val="24"/>
          <w:szCs w:val="24"/>
        </w:rPr>
        <w:t>Print.</w:t>
      </w:r>
    </w:p>
    <w:p w14:paraId="202229A9" w14:textId="77777777" w:rsidR="003C7E44" w:rsidRPr="003C7E44" w:rsidRDefault="003C7E44" w:rsidP="00925DC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C7E44" w:rsidRPr="003C7E44" w:rsidSect="00021CAD">
      <w:headerReference w:type="default" r:id="rId14"/>
      <w:footerReference w:type="default" r:id="rId15"/>
      <w:pgSz w:w="12240" w:h="15840"/>
      <w:pgMar w:top="1008" w:right="1440" w:bottom="11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1C2B" w14:textId="77777777" w:rsidR="009C2B64" w:rsidRDefault="009C2B64" w:rsidP="00A90468">
      <w:pPr>
        <w:spacing w:after="0" w:line="240" w:lineRule="auto"/>
      </w:pPr>
      <w:r>
        <w:separator/>
      </w:r>
    </w:p>
  </w:endnote>
  <w:endnote w:type="continuationSeparator" w:id="0">
    <w:p w14:paraId="41EF16B3" w14:textId="77777777" w:rsidR="009C2B64" w:rsidRDefault="009C2B64" w:rsidP="00A9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29B4" w14:textId="4DAB8B0A" w:rsidR="008521C8" w:rsidRDefault="008521C8">
    <w:pPr>
      <w:pStyle w:val="Footer"/>
    </w:pPr>
    <w:r>
      <w:t xml:space="preserve">Last Updated: </w:t>
    </w:r>
    <w:r w:rsidR="001B362E"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A281" w14:textId="77777777" w:rsidR="009C2B64" w:rsidRDefault="009C2B64" w:rsidP="00A90468">
      <w:pPr>
        <w:spacing w:after="0" w:line="240" w:lineRule="auto"/>
      </w:pPr>
      <w:r>
        <w:separator/>
      </w:r>
    </w:p>
  </w:footnote>
  <w:footnote w:type="continuationSeparator" w:id="0">
    <w:p w14:paraId="54507A0C" w14:textId="77777777" w:rsidR="009C2B64" w:rsidRDefault="009C2B64" w:rsidP="00A9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29B2" w14:textId="77777777" w:rsidR="009B258A" w:rsidRDefault="009B25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2229B5" wp14:editId="202229B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02229BA" w14:textId="77777777" w:rsidR="009B258A" w:rsidRPr="009B258A" w:rsidRDefault="00A8782E">
                                <w:pPr>
                                  <w:pStyle w:val="Header"/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 xml:space="preserve">Merrill Middle School </w:t>
                                </w:r>
                                <w:r w:rsidR="009606B6"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Assessment Policy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02229BB" w14:textId="528F4C72" w:rsidR="009B258A" w:rsidRDefault="001B362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44"/>
                                    <w:szCs w:val="44"/>
                                  </w:rPr>
                                  <w:t>2015 - 16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229B5" id="Group 196" o:spid="_x0000_s1033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0cX2b78DAACfDQAADgAAAAAAAAAAAAAAAAAuAgAAZHJz&#10;L2Uyb0RvYy54bWxQSwECLQAUAAYACAAAACEArP5uBNoAAAAFAQAADwAAAAAAAAAAAAAAAAAZBgAA&#10;ZHJzL2Rvd25yZXYueG1sUEsFBgAAAAAEAAQA8wAAACAHAAAAAA==&#10;" o:allowincell="f">
              <v:rect id="Rectangle 197" o:spid="_x0000_s1034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toMUA&#10;AADcAAAADwAAAGRycy9kb3ducmV2LnhtbESPQWvCQBSE74L/YXmCN90YS5DoKqKm9FKK0dbrI/ua&#10;hGbfhuw2pv++Wyh4HGbmG2azG0wjeupcbVnBYh6BIC6srrlUcL1ksxUI55E1NpZJwQ852G3How2m&#10;2t75TH3uSxEg7FJUUHnfplK6oiKDbm5b4uB92s6gD7Irpe7wHuCmkXEUJdJgzWGhwpYOFRVf+bdR&#10;8PT88bo8HH32lien7PJ+w1WvE6Wmk2G/BuFp8I/wf/tFK4jj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e2gxQAAANwAAAAPAAAAAAAAAAAAAAAAAJgCAABkcnMv&#10;ZG93bnJldi54bWxQSwUGAAAAAAQABAD1AAAAigMAAAAA&#10;" fillcolor="#8db3e2 [1311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202229BA" w14:textId="77777777" w:rsidR="009B258A" w:rsidRPr="009B258A" w:rsidRDefault="00A8782E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 xml:space="preserve">Merrill Middle School </w:t>
                          </w:r>
                          <w:r w:rsidR="009606B6"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Assessment Policy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5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+h8EA&#10;AADcAAAADwAAAGRycy9kb3ducmV2LnhtbESPQWsCMRSE7wX/Q3iCt5oYoS2rUVZF26tW74/Nc3dx&#10;87Jsou7++6ZQ6HGYmW+Y5bp3jXhQF2rPBmZTBYK48Lbm0sD5e//6ASJEZIuNZzIwUID1avSyxMz6&#10;Jx/pcYqlSBAOGRqoYmwzKUNRkcMw9S1x8q6+cxiT7EppO3wmuGukVupNOqw5LVTY0rai4na6OwMb&#10;nre5Om43n4PbqVyz5stwMGYy7vMFiEh9/A//tb+sAa3f4fdMOgJ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PofBAAAA3AAAAA8AAAAAAAAAAAAAAAAAmAIAAGRycy9kb3du&#10;cmV2LnhtbFBLBQYAAAAABAAEAPUAAACGAwAAAAA=&#10;" fillcolor="#8db3e2 [1311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02229BB" w14:textId="528F4C72" w:rsidR="009B258A" w:rsidRDefault="001B362E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4"/>
                              <w:szCs w:val="44"/>
                            </w:rPr>
                            <w:t>2015 - 16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6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14:paraId="202229B3" w14:textId="77777777" w:rsidR="009B258A" w:rsidRDefault="009B2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235E"/>
    <w:multiLevelType w:val="hybridMultilevel"/>
    <w:tmpl w:val="1708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E7EDD"/>
    <w:multiLevelType w:val="hybridMultilevel"/>
    <w:tmpl w:val="64C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6AC0"/>
    <w:multiLevelType w:val="hybridMultilevel"/>
    <w:tmpl w:val="0CE6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2A35"/>
    <w:multiLevelType w:val="hybridMultilevel"/>
    <w:tmpl w:val="5CAE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B02F1"/>
    <w:multiLevelType w:val="hybridMultilevel"/>
    <w:tmpl w:val="0ADCE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224424"/>
    <w:multiLevelType w:val="hybridMultilevel"/>
    <w:tmpl w:val="CF56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F72E5"/>
    <w:multiLevelType w:val="hybridMultilevel"/>
    <w:tmpl w:val="1B82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B"/>
    <w:rsid w:val="0000605B"/>
    <w:rsid w:val="00016E9B"/>
    <w:rsid w:val="000172CD"/>
    <w:rsid w:val="00017EA2"/>
    <w:rsid w:val="00021CAD"/>
    <w:rsid w:val="000257C4"/>
    <w:rsid w:val="00031242"/>
    <w:rsid w:val="00046B0B"/>
    <w:rsid w:val="0005432B"/>
    <w:rsid w:val="000611AF"/>
    <w:rsid w:val="00086C51"/>
    <w:rsid w:val="000A3EFE"/>
    <w:rsid w:val="000C25B7"/>
    <w:rsid w:val="000C266C"/>
    <w:rsid w:val="000C4A26"/>
    <w:rsid w:val="000D1D39"/>
    <w:rsid w:val="000E3377"/>
    <w:rsid w:val="000E61CD"/>
    <w:rsid w:val="000E6269"/>
    <w:rsid w:val="000E6580"/>
    <w:rsid w:val="000F0C73"/>
    <w:rsid w:val="000F43FF"/>
    <w:rsid w:val="000F7B92"/>
    <w:rsid w:val="00103247"/>
    <w:rsid w:val="00103462"/>
    <w:rsid w:val="00145FF3"/>
    <w:rsid w:val="00147A3F"/>
    <w:rsid w:val="00157126"/>
    <w:rsid w:val="00170803"/>
    <w:rsid w:val="001718F7"/>
    <w:rsid w:val="00180840"/>
    <w:rsid w:val="00182D58"/>
    <w:rsid w:val="00183D20"/>
    <w:rsid w:val="00196960"/>
    <w:rsid w:val="001B362E"/>
    <w:rsid w:val="001D4744"/>
    <w:rsid w:val="001D7EC7"/>
    <w:rsid w:val="001E00C8"/>
    <w:rsid w:val="001F01AF"/>
    <w:rsid w:val="001F1034"/>
    <w:rsid w:val="001F1FEF"/>
    <w:rsid w:val="001F3A21"/>
    <w:rsid w:val="00204771"/>
    <w:rsid w:val="002264C3"/>
    <w:rsid w:val="002270AE"/>
    <w:rsid w:val="0022732A"/>
    <w:rsid w:val="002515D8"/>
    <w:rsid w:val="002517BB"/>
    <w:rsid w:val="00254896"/>
    <w:rsid w:val="002570D5"/>
    <w:rsid w:val="002573AC"/>
    <w:rsid w:val="002578F3"/>
    <w:rsid w:val="00272EEF"/>
    <w:rsid w:val="002763B4"/>
    <w:rsid w:val="00285876"/>
    <w:rsid w:val="002967D8"/>
    <w:rsid w:val="00296DDC"/>
    <w:rsid w:val="002A01E3"/>
    <w:rsid w:val="002C23BC"/>
    <w:rsid w:val="002C2ABF"/>
    <w:rsid w:val="002C47EB"/>
    <w:rsid w:val="002C7360"/>
    <w:rsid w:val="002D3A34"/>
    <w:rsid w:val="002E669B"/>
    <w:rsid w:val="002F14D1"/>
    <w:rsid w:val="002F14ED"/>
    <w:rsid w:val="002F299F"/>
    <w:rsid w:val="002F2D67"/>
    <w:rsid w:val="002F351B"/>
    <w:rsid w:val="00306734"/>
    <w:rsid w:val="00307E24"/>
    <w:rsid w:val="00320B51"/>
    <w:rsid w:val="0033261A"/>
    <w:rsid w:val="00347488"/>
    <w:rsid w:val="003537DC"/>
    <w:rsid w:val="00353A2E"/>
    <w:rsid w:val="00356206"/>
    <w:rsid w:val="00360973"/>
    <w:rsid w:val="003672E5"/>
    <w:rsid w:val="0037473A"/>
    <w:rsid w:val="00374CB3"/>
    <w:rsid w:val="00375FC7"/>
    <w:rsid w:val="00384767"/>
    <w:rsid w:val="00387BEA"/>
    <w:rsid w:val="003928E8"/>
    <w:rsid w:val="003A67D4"/>
    <w:rsid w:val="003B37BA"/>
    <w:rsid w:val="003B72A4"/>
    <w:rsid w:val="003B75C8"/>
    <w:rsid w:val="003C2E9E"/>
    <w:rsid w:val="003C7E44"/>
    <w:rsid w:val="003D0C8A"/>
    <w:rsid w:val="003D566E"/>
    <w:rsid w:val="003E4C3A"/>
    <w:rsid w:val="003F4798"/>
    <w:rsid w:val="003F4810"/>
    <w:rsid w:val="00400E6B"/>
    <w:rsid w:val="00402C83"/>
    <w:rsid w:val="004053C7"/>
    <w:rsid w:val="0041799C"/>
    <w:rsid w:val="00490C9C"/>
    <w:rsid w:val="0049624C"/>
    <w:rsid w:val="004A40BE"/>
    <w:rsid w:val="004A72A0"/>
    <w:rsid w:val="004D0F4E"/>
    <w:rsid w:val="004D1931"/>
    <w:rsid w:val="004D2AEE"/>
    <w:rsid w:val="005140FD"/>
    <w:rsid w:val="00515D73"/>
    <w:rsid w:val="00534F47"/>
    <w:rsid w:val="005376C2"/>
    <w:rsid w:val="00540EE1"/>
    <w:rsid w:val="00545F73"/>
    <w:rsid w:val="00547D11"/>
    <w:rsid w:val="005522A1"/>
    <w:rsid w:val="00555FD3"/>
    <w:rsid w:val="005637AF"/>
    <w:rsid w:val="00567FFB"/>
    <w:rsid w:val="00575F0D"/>
    <w:rsid w:val="00576C86"/>
    <w:rsid w:val="00591063"/>
    <w:rsid w:val="005913C1"/>
    <w:rsid w:val="005A1B10"/>
    <w:rsid w:val="005C465D"/>
    <w:rsid w:val="005C6CDA"/>
    <w:rsid w:val="005E25BC"/>
    <w:rsid w:val="005E3E76"/>
    <w:rsid w:val="005E4B7A"/>
    <w:rsid w:val="005F0247"/>
    <w:rsid w:val="005F2BDA"/>
    <w:rsid w:val="005F6329"/>
    <w:rsid w:val="00603A9F"/>
    <w:rsid w:val="006159E0"/>
    <w:rsid w:val="00644D71"/>
    <w:rsid w:val="00646DC6"/>
    <w:rsid w:val="00652316"/>
    <w:rsid w:val="0066439D"/>
    <w:rsid w:val="00673183"/>
    <w:rsid w:val="00683FA0"/>
    <w:rsid w:val="00686C89"/>
    <w:rsid w:val="00697000"/>
    <w:rsid w:val="006A0B81"/>
    <w:rsid w:val="006A13B4"/>
    <w:rsid w:val="006B10A6"/>
    <w:rsid w:val="006C1F18"/>
    <w:rsid w:val="006E183C"/>
    <w:rsid w:val="006E6AE3"/>
    <w:rsid w:val="006F4FAC"/>
    <w:rsid w:val="0070043F"/>
    <w:rsid w:val="007117DB"/>
    <w:rsid w:val="00713B80"/>
    <w:rsid w:val="00714F58"/>
    <w:rsid w:val="0073487F"/>
    <w:rsid w:val="007564DE"/>
    <w:rsid w:val="00763F4E"/>
    <w:rsid w:val="0078572A"/>
    <w:rsid w:val="007906F6"/>
    <w:rsid w:val="0079134E"/>
    <w:rsid w:val="00794C1C"/>
    <w:rsid w:val="00796AB8"/>
    <w:rsid w:val="007A044F"/>
    <w:rsid w:val="007A0800"/>
    <w:rsid w:val="007A1695"/>
    <w:rsid w:val="007A70CE"/>
    <w:rsid w:val="007B5FD9"/>
    <w:rsid w:val="007B7169"/>
    <w:rsid w:val="007C6AC6"/>
    <w:rsid w:val="0080544D"/>
    <w:rsid w:val="00806873"/>
    <w:rsid w:val="00810062"/>
    <w:rsid w:val="00815409"/>
    <w:rsid w:val="008255F2"/>
    <w:rsid w:val="008273F0"/>
    <w:rsid w:val="00834038"/>
    <w:rsid w:val="0083428D"/>
    <w:rsid w:val="00835060"/>
    <w:rsid w:val="008521C8"/>
    <w:rsid w:val="008622E3"/>
    <w:rsid w:val="008661DA"/>
    <w:rsid w:val="008675E3"/>
    <w:rsid w:val="0086764B"/>
    <w:rsid w:val="00870DFC"/>
    <w:rsid w:val="008744D8"/>
    <w:rsid w:val="008B4ABE"/>
    <w:rsid w:val="008B6815"/>
    <w:rsid w:val="008C05E7"/>
    <w:rsid w:val="008D2D74"/>
    <w:rsid w:val="008D54C1"/>
    <w:rsid w:val="008E25CD"/>
    <w:rsid w:val="008E31F4"/>
    <w:rsid w:val="008F1F07"/>
    <w:rsid w:val="008F7FA5"/>
    <w:rsid w:val="00900E53"/>
    <w:rsid w:val="00915DF8"/>
    <w:rsid w:val="00921F81"/>
    <w:rsid w:val="00925DCD"/>
    <w:rsid w:val="00931522"/>
    <w:rsid w:val="00931588"/>
    <w:rsid w:val="00931FCC"/>
    <w:rsid w:val="00932499"/>
    <w:rsid w:val="00932D93"/>
    <w:rsid w:val="00943809"/>
    <w:rsid w:val="00944346"/>
    <w:rsid w:val="00956491"/>
    <w:rsid w:val="00956D84"/>
    <w:rsid w:val="009606B6"/>
    <w:rsid w:val="00961BC9"/>
    <w:rsid w:val="0096326A"/>
    <w:rsid w:val="00972666"/>
    <w:rsid w:val="00976424"/>
    <w:rsid w:val="00977EAB"/>
    <w:rsid w:val="00983AEA"/>
    <w:rsid w:val="00985342"/>
    <w:rsid w:val="00990656"/>
    <w:rsid w:val="009913E7"/>
    <w:rsid w:val="0099178A"/>
    <w:rsid w:val="00992976"/>
    <w:rsid w:val="009B258A"/>
    <w:rsid w:val="009B37B5"/>
    <w:rsid w:val="009C2B64"/>
    <w:rsid w:val="009D0A44"/>
    <w:rsid w:val="009F228E"/>
    <w:rsid w:val="00A01956"/>
    <w:rsid w:val="00A03FDF"/>
    <w:rsid w:val="00A04B40"/>
    <w:rsid w:val="00A11048"/>
    <w:rsid w:val="00A21C77"/>
    <w:rsid w:val="00A35F23"/>
    <w:rsid w:val="00A41B1A"/>
    <w:rsid w:val="00A65A18"/>
    <w:rsid w:val="00A665DB"/>
    <w:rsid w:val="00A669BC"/>
    <w:rsid w:val="00A8782E"/>
    <w:rsid w:val="00A90468"/>
    <w:rsid w:val="00A9695F"/>
    <w:rsid w:val="00A97F42"/>
    <w:rsid w:val="00AA4977"/>
    <w:rsid w:val="00AA78DC"/>
    <w:rsid w:val="00AC2BFF"/>
    <w:rsid w:val="00AD10D0"/>
    <w:rsid w:val="00AD1170"/>
    <w:rsid w:val="00AD5808"/>
    <w:rsid w:val="00AF7701"/>
    <w:rsid w:val="00B01A5C"/>
    <w:rsid w:val="00B03DA9"/>
    <w:rsid w:val="00B11DC3"/>
    <w:rsid w:val="00B13C14"/>
    <w:rsid w:val="00B808E5"/>
    <w:rsid w:val="00B80ED0"/>
    <w:rsid w:val="00B8120A"/>
    <w:rsid w:val="00B85794"/>
    <w:rsid w:val="00B916C2"/>
    <w:rsid w:val="00B947A8"/>
    <w:rsid w:val="00BA48D9"/>
    <w:rsid w:val="00BA4D05"/>
    <w:rsid w:val="00BC3829"/>
    <w:rsid w:val="00BD5727"/>
    <w:rsid w:val="00BE13DC"/>
    <w:rsid w:val="00BE179C"/>
    <w:rsid w:val="00BE4D38"/>
    <w:rsid w:val="00BF514F"/>
    <w:rsid w:val="00BF7F9F"/>
    <w:rsid w:val="00C14BD8"/>
    <w:rsid w:val="00C21B02"/>
    <w:rsid w:val="00C233EF"/>
    <w:rsid w:val="00C32FE5"/>
    <w:rsid w:val="00C403A2"/>
    <w:rsid w:val="00C4457F"/>
    <w:rsid w:val="00C56A76"/>
    <w:rsid w:val="00C61F06"/>
    <w:rsid w:val="00C64342"/>
    <w:rsid w:val="00C74878"/>
    <w:rsid w:val="00C814FB"/>
    <w:rsid w:val="00C820AD"/>
    <w:rsid w:val="00C85D39"/>
    <w:rsid w:val="00C86A23"/>
    <w:rsid w:val="00CA4834"/>
    <w:rsid w:val="00CC69C6"/>
    <w:rsid w:val="00CC7788"/>
    <w:rsid w:val="00CE6779"/>
    <w:rsid w:val="00CF4BA6"/>
    <w:rsid w:val="00CF557D"/>
    <w:rsid w:val="00D02202"/>
    <w:rsid w:val="00D1055F"/>
    <w:rsid w:val="00D12438"/>
    <w:rsid w:val="00D160E0"/>
    <w:rsid w:val="00D210A9"/>
    <w:rsid w:val="00D2240B"/>
    <w:rsid w:val="00D2373E"/>
    <w:rsid w:val="00D50096"/>
    <w:rsid w:val="00D54626"/>
    <w:rsid w:val="00D561F3"/>
    <w:rsid w:val="00D57F31"/>
    <w:rsid w:val="00D63652"/>
    <w:rsid w:val="00D711D8"/>
    <w:rsid w:val="00D774EB"/>
    <w:rsid w:val="00DB57F6"/>
    <w:rsid w:val="00DB72CD"/>
    <w:rsid w:val="00DC79CD"/>
    <w:rsid w:val="00DD63E6"/>
    <w:rsid w:val="00DE0C7E"/>
    <w:rsid w:val="00DE6D8B"/>
    <w:rsid w:val="00DF0964"/>
    <w:rsid w:val="00DF3CD6"/>
    <w:rsid w:val="00DF6E90"/>
    <w:rsid w:val="00E21FCB"/>
    <w:rsid w:val="00E3740D"/>
    <w:rsid w:val="00E43482"/>
    <w:rsid w:val="00E44AB9"/>
    <w:rsid w:val="00E601AE"/>
    <w:rsid w:val="00E72072"/>
    <w:rsid w:val="00E75ECC"/>
    <w:rsid w:val="00E95A85"/>
    <w:rsid w:val="00EA3A67"/>
    <w:rsid w:val="00EC4F83"/>
    <w:rsid w:val="00EC6036"/>
    <w:rsid w:val="00EC626B"/>
    <w:rsid w:val="00EC6CEA"/>
    <w:rsid w:val="00ED093A"/>
    <w:rsid w:val="00ED6CE4"/>
    <w:rsid w:val="00EF0C87"/>
    <w:rsid w:val="00EF65DD"/>
    <w:rsid w:val="00F11417"/>
    <w:rsid w:val="00F26425"/>
    <w:rsid w:val="00F3177C"/>
    <w:rsid w:val="00F34E44"/>
    <w:rsid w:val="00F40363"/>
    <w:rsid w:val="00F449AD"/>
    <w:rsid w:val="00F51B87"/>
    <w:rsid w:val="00F718C1"/>
    <w:rsid w:val="00F71930"/>
    <w:rsid w:val="00F77410"/>
    <w:rsid w:val="00FA1D6D"/>
    <w:rsid w:val="00FA1DFA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02228D6"/>
  <w15:docId w15:val="{7BD7F169-9AC0-41B0-ACA7-C45C0BB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6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68"/>
  </w:style>
  <w:style w:type="paragraph" w:styleId="Footer">
    <w:name w:val="footer"/>
    <w:basedOn w:val="Normal"/>
    <w:link w:val="FooterChar"/>
    <w:uiPriority w:val="99"/>
    <w:unhideWhenUsed/>
    <w:rsid w:val="00A90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68"/>
  </w:style>
  <w:style w:type="paragraph" w:styleId="BalloonText">
    <w:name w:val="Balloon Text"/>
    <w:basedOn w:val="Normal"/>
    <w:link w:val="BalloonTextChar"/>
    <w:uiPriority w:val="99"/>
    <w:semiHidden/>
    <w:unhideWhenUsed/>
    <w:rsid w:val="00A9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6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606B6"/>
  </w:style>
  <w:style w:type="table" w:styleId="TableGrid">
    <w:name w:val="Table Grid"/>
    <w:basedOn w:val="TableNormal"/>
    <w:uiPriority w:val="59"/>
    <w:rsid w:val="0059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5913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913C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2015 - 16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BC1D9D1BE342A6DD1D9F41B99F88" ma:contentTypeVersion="0" ma:contentTypeDescription="Create a new document." ma:contentTypeScope="" ma:versionID="db55ecbc58437a541d6d55f65b569d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74243-6595-48D3-A6CA-46091BA5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3BE5C6-059C-4BEF-89EA-718F3EF579B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ED56F7-E77E-42AF-B820-5206179F5E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9BAC4F-18EE-45FC-A871-9F14BC1D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Merrill Middle School Assessment Policy</vt:lpstr>
    </vt:vector>
  </TitlesOfParts>
  <Company>DMPS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Merrill Middle School Assessment Policy</dc:title>
  <dc:subject/>
  <dc:creator>L-Net</dc:creator>
  <cp:keywords/>
  <dc:description/>
  <cp:lastModifiedBy>Howe, Olivia</cp:lastModifiedBy>
  <cp:revision>1</cp:revision>
  <cp:lastPrinted>2014-10-20T16:05:00Z</cp:lastPrinted>
  <dcterms:created xsi:type="dcterms:W3CDTF">2014-10-23T18:21:00Z</dcterms:created>
  <dcterms:modified xsi:type="dcterms:W3CDTF">2016-03-25T17:07:00Z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0x0101001D4ABC1D9D1BE342A6DD1D9F41B99F88</vt:lpwstr>
  </property>
  <property fmtid="{D5CDD505-2E9C-101B-9397-08002B2CF9AE}" pid="3" name="IsMyDocuments">
    <vt:bool>true</vt:bool>
  </property>
  <property fmtid="{D5CDD505-2E9C-101B-9397-08002B2CF9AE}" pid="4" name="_AdHocReviewCycleID">
    <vt:i4>497762537</vt:i4>
  </property>
  <property fmtid="{D5CDD505-2E9C-101B-9397-08002B2CF9AE}" pid="5" name="_NewReviewCycle">
    <vt:lpwstr/>
  </property>
  <property fmtid="{D5CDD505-2E9C-101B-9397-08002B2CF9AE}" pid="6" name="_EmailSubject">
    <vt:lpwstr>Policies</vt:lpwstr>
  </property>
  <property fmtid="{D5CDD505-2E9C-101B-9397-08002B2CF9AE}" pid="7" name="_AuthorEmail">
    <vt:lpwstr>allison.woodwardchartier@dmschools.org</vt:lpwstr>
  </property>
  <property fmtid="{D5CDD505-2E9C-101B-9397-08002B2CF9AE}" pid="8" name="_AuthorEmailDisplayName">
    <vt:lpwstr>Woodward-chartier, Allison</vt:lpwstr>
  </property>
  <property fmtid="{D5CDD505-2E9C-101B-9397-08002B2CF9AE}" pid="9" name="_ReviewingToolsShownOnce">
    <vt:lpwstr/>
  </property>
</Properties>
</file>